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eastAsia="宋体" w:cs="宋体"/>
          <w:b/>
          <w:bCs/>
          <w:color w:val="auto"/>
          <w:sz w:val="24"/>
          <w:szCs w:val="24"/>
          <w:highlight w:val="none"/>
          <w:lang w:val="zh-CN"/>
        </w:rPr>
      </w:pPr>
    </w:p>
    <w:p>
      <w:pPr>
        <w:autoSpaceDE w:val="0"/>
        <w:autoSpaceDN w:val="0"/>
        <w:adjustRightInd w:val="0"/>
        <w:spacing w:line="680" w:lineRule="exact"/>
        <w:jc w:val="center"/>
        <w:rPr>
          <w:rFonts w:hint="eastAsia" w:ascii="宋体" w:hAnsi="宋体" w:eastAsia="宋体" w:cs="宋体"/>
          <w:b/>
          <w:bCs/>
          <w:color w:val="auto"/>
          <w:sz w:val="21"/>
          <w:szCs w:val="21"/>
          <w:highlight w:val="none"/>
          <w:lang w:val="zh-CN"/>
        </w:rPr>
      </w:pPr>
    </w:p>
    <w:p>
      <w:pPr>
        <w:pStyle w:val="26"/>
        <w:ind w:firstLine="200"/>
        <w:jc w:val="center"/>
        <w:rPr>
          <w:rFonts w:hint="eastAsia" w:ascii="宋体" w:hAnsi="宋体" w:eastAsia="宋体" w:cs="宋体"/>
          <w:color w:val="auto"/>
          <w:sz w:val="24"/>
          <w:szCs w:val="32"/>
          <w:highlight w:val="none"/>
          <w:lang w:val="en-US" w:eastAsia="zh-CN"/>
        </w:rPr>
      </w:pPr>
      <w:r>
        <w:rPr>
          <w:rFonts w:hint="eastAsia" w:ascii="宋体" w:hAnsi="宋体" w:eastAsia="宋体" w:cs="宋体"/>
          <w:b/>
          <w:bCs/>
          <w:color w:val="auto"/>
          <w:sz w:val="48"/>
          <w:szCs w:val="48"/>
          <w:highlight w:val="none"/>
          <w:lang w:val="zh-CN"/>
        </w:rPr>
        <w:t>长垣技师学院(长垣职业中等学校)实训室建设项目</w:t>
      </w:r>
      <w:r>
        <w:rPr>
          <w:rFonts w:hint="eastAsia" w:ascii="宋体" w:hAnsi="宋体" w:eastAsia="宋体" w:cs="宋体"/>
          <w:b/>
          <w:bCs/>
          <w:color w:val="auto"/>
          <w:sz w:val="48"/>
          <w:szCs w:val="48"/>
          <w:highlight w:val="none"/>
          <w:lang w:val="en-US" w:eastAsia="zh-CN"/>
        </w:rPr>
        <w:t>A包二次</w:t>
      </w:r>
    </w:p>
    <w:p>
      <w:pPr>
        <w:autoSpaceDE w:val="0"/>
        <w:autoSpaceDN w:val="0"/>
        <w:adjustRightInd w:val="0"/>
        <w:spacing w:line="500" w:lineRule="exact"/>
        <w:jc w:val="center"/>
        <w:rPr>
          <w:rFonts w:ascii="宋体" w:hAnsi="宋体" w:eastAsia="宋体" w:cs="宋体"/>
          <w:b/>
          <w:bCs/>
          <w:color w:val="auto"/>
          <w:sz w:val="72"/>
          <w:szCs w:val="72"/>
          <w:highlight w:val="none"/>
        </w:rPr>
      </w:pPr>
    </w:p>
    <w:p>
      <w:pPr>
        <w:pStyle w:val="9"/>
        <w:jc w:val="center"/>
        <w:rPr>
          <w:color w:val="auto"/>
          <w:highlight w:val="none"/>
          <w:lang w:val="zh-CN"/>
        </w:rPr>
      </w:pPr>
    </w:p>
    <w:p>
      <w:pPr>
        <w:jc w:val="center"/>
        <w:rPr>
          <w:color w:val="auto"/>
          <w:highlight w:val="none"/>
          <w:lang w:val="zh-CN"/>
        </w:rPr>
      </w:pPr>
    </w:p>
    <w:p>
      <w:pPr>
        <w:pStyle w:val="9"/>
        <w:jc w:val="center"/>
        <w:rPr>
          <w:color w:val="auto"/>
          <w:highlight w:val="none"/>
          <w:lang w:val="zh-CN"/>
        </w:rPr>
      </w:pPr>
    </w:p>
    <w:p>
      <w:pPr>
        <w:jc w:val="center"/>
        <w:rPr>
          <w:color w:val="auto"/>
          <w:highlight w:val="none"/>
          <w:lang w:val="zh-CN"/>
        </w:rPr>
      </w:pPr>
    </w:p>
    <w:p>
      <w:pPr>
        <w:autoSpaceDE w:val="0"/>
        <w:autoSpaceDN w:val="0"/>
        <w:adjustRightInd w:val="0"/>
        <w:jc w:val="center"/>
        <w:rPr>
          <w:rFonts w:hint="eastAsia" w:ascii="宋体" w:hAnsi="宋体" w:eastAsia="宋体" w:cs="宋体"/>
          <w:b/>
          <w:bCs/>
          <w:color w:val="auto"/>
          <w:sz w:val="120"/>
          <w:szCs w:val="120"/>
          <w:highlight w:val="none"/>
          <w:lang w:val="zh-CN" w:eastAsia="zh-CN"/>
        </w:rPr>
      </w:pPr>
      <w:r>
        <w:rPr>
          <w:rFonts w:hint="eastAsia" w:ascii="宋体" w:hAnsi="宋体" w:eastAsia="宋体" w:cs="宋体"/>
          <w:b/>
          <w:bCs/>
          <w:color w:val="auto"/>
          <w:sz w:val="120"/>
          <w:szCs w:val="120"/>
          <w:highlight w:val="none"/>
          <w:lang w:val="zh-CN"/>
        </w:rPr>
        <w:t>招标文件</w:t>
      </w:r>
    </w:p>
    <w:p>
      <w:pPr>
        <w:autoSpaceDE w:val="0"/>
        <w:autoSpaceDN w:val="0"/>
        <w:adjustRightInd w:val="0"/>
        <w:spacing w:line="500" w:lineRule="exact"/>
        <w:jc w:val="center"/>
        <w:rPr>
          <w:rFonts w:ascii="宋体" w:hAnsi="宋体" w:eastAsia="宋体" w:cs="宋体"/>
          <w:b/>
          <w:bCs/>
          <w:color w:val="auto"/>
          <w:sz w:val="44"/>
          <w:szCs w:val="44"/>
          <w:highlight w:val="none"/>
          <w:lang w:val="zh-CN"/>
        </w:rPr>
      </w:pPr>
      <w:r>
        <w:rPr>
          <w:rFonts w:hint="eastAsia" w:ascii="宋体" w:hAnsi="宋体" w:eastAsia="宋体" w:cs="宋体"/>
          <w:b/>
          <w:bCs/>
          <w:color w:val="auto"/>
          <w:szCs w:val="32"/>
          <w:highlight w:val="none"/>
          <w:lang w:val="zh-CN"/>
        </w:rPr>
        <w:t>（采购项目编号：长财招标采购-2022-</w:t>
      </w:r>
      <w:r>
        <w:rPr>
          <w:rFonts w:hint="eastAsia" w:ascii="宋体" w:hAnsi="宋体" w:eastAsia="宋体" w:cs="宋体"/>
          <w:b/>
          <w:bCs/>
          <w:color w:val="auto"/>
          <w:szCs w:val="32"/>
          <w:highlight w:val="none"/>
          <w:lang w:val="en-US" w:eastAsia="zh-CN"/>
        </w:rPr>
        <w:t>158</w:t>
      </w:r>
      <w:r>
        <w:rPr>
          <w:rFonts w:hint="eastAsia" w:ascii="宋体" w:hAnsi="宋体" w:eastAsia="宋体" w:cs="宋体"/>
          <w:b/>
          <w:bCs/>
          <w:color w:val="auto"/>
          <w:szCs w:val="32"/>
          <w:highlight w:val="none"/>
          <w:lang w:val="zh-CN"/>
        </w:rPr>
        <w:t>）</w:t>
      </w:r>
    </w:p>
    <w:p>
      <w:pPr>
        <w:autoSpaceDE w:val="0"/>
        <w:autoSpaceDN w:val="0"/>
        <w:adjustRightInd w:val="0"/>
        <w:spacing w:line="500" w:lineRule="exact"/>
        <w:jc w:val="center"/>
        <w:rPr>
          <w:rFonts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（项目交易编号：长交采202</w:t>
      </w:r>
      <w:r>
        <w:rPr>
          <w:rFonts w:hint="eastAsia" w:ascii="宋体" w:hAnsi="宋体" w:eastAsia="宋体" w:cs="宋体"/>
          <w:b/>
          <w:bCs/>
          <w:color w:val="auto"/>
          <w:szCs w:val="32"/>
          <w:highlight w:val="none"/>
        </w:rPr>
        <w:t>2</w:t>
      </w:r>
      <w:r>
        <w:rPr>
          <w:rFonts w:hint="eastAsia" w:ascii="宋体" w:hAnsi="宋体" w:eastAsia="宋体" w:cs="宋体"/>
          <w:b/>
          <w:bCs/>
          <w:color w:val="auto"/>
          <w:szCs w:val="32"/>
          <w:highlight w:val="none"/>
          <w:lang w:val="zh-CN"/>
        </w:rPr>
        <w:t>ZB</w:t>
      </w:r>
      <w:r>
        <w:rPr>
          <w:rFonts w:hint="eastAsia" w:ascii="宋体" w:hAnsi="宋体" w:eastAsia="宋体" w:cs="宋体"/>
          <w:b/>
          <w:bCs/>
          <w:color w:val="auto"/>
          <w:szCs w:val="32"/>
          <w:highlight w:val="none"/>
          <w:lang w:val="en-US" w:eastAsia="zh-CN"/>
        </w:rPr>
        <w:t>069</w:t>
      </w:r>
      <w:r>
        <w:rPr>
          <w:rFonts w:hint="eastAsia" w:ascii="宋体" w:hAnsi="宋体" w:eastAsia="宋体" w:cs="宋体"/>
          <w:b/>
          <w:bCs/>
          <w:color w:val="auto"/>
          <w:szCs w:val="32"/>
          <w:highlight w:val="none"/>
          <w:lang w:val="zh-CN"/>
        </w:rPr>
        <w:t>号）</w:t>
      </w:r>
    </w:p>
    <w:p>
      <w:pPr>
        <w:autoSpaceDE w:val="0"/>
        <w:autoSpaceDN w:val="0"/>
        <w:adjustRightInd w:val="0"/>
        <w:spacing w:line="500" w:lineRule="exact"/>
        <w:jc w:val="center"/>
        <w:rPr>
          <w:rFonts w:ascii="宋体" w:hAnsi="宋体" w:eastAsia="宋体" w:cs="宋体"/>
          <w:b/>
          <w:bCs/>
          <w:color w:val="auto"/>
          <w:sz w:val="44"/>
          <w:szCs w:val="44"/>
          <w:highlight w:val="none"/>
          <w:lang w:val="zh-CN"/>
        </w:rPr>
      </w:pPr>
    </w:p>
    <w:p>
      <w:pPr>
        <w:autoSpaceDE w:val="0"/>
        <w:autoSpaceDN w:val="0"/>
        <w:adjustRightInd w:val="0"/>
        <w:spacing w:line="500" w:lineRule="exact"/>
        <w:jc w:val="center"/>
        <w:rPr>
          <w:rFonts w:ascii="宋体" w:hAnsi="宋体" w:eastAsia="宋体" w:cs="宋体"/>
          <w:b/>
          <w:bCs/>
          <w:color w:val="auto"/>
          <w:sz w:val="44"/>
          <w:szCs w:val="44"/>
          <w:highlight w:val="none"/>
          <w:lang w:val="zh-CN"/>
        </w:rPr>
      </w:pPr>
    </w:p>
    <w:p>
      <w:pPr>
        <w:autoSpaceDE w:val="0"/>
        <w:autoSpaceDN w:val="0"/>
        <w:adjustRightInd w:val="0"/>
        <w:spacing w:line="500" w:lineRule="exact"/>
        <w:jc w:val="center"/>
        <w:rPr>
          <w:rFonts w:ascii="宋体" w:hAnsi="宋体" w:eastAsia="宋体" w:cs="宋体"/>
          <w:b/>
          <w:bCs/>
          <w:color w:val="auto"/>
          <w:sz w:val="44"/>
          <w:szCs w:val="44"/>
          <w:highlight w:val="none"/>
          <w:lang w:val="zh-CN"/>
        </w:rPr>
      </w:pPr>
    </w:p>
    <w:p>
      <w:pPr>
        <w:pStyle w:val="26"/>
        <w:spacing w:line="500" w:lineRule="exact"/>
        <w:ind w:firstLine="200"/>
        <w:rPr>
          <w:rFonts w:ascii="宋体" w:hAnsi="宋体" w:eastAsia="宋体" w:cs="宋体"/>
          <w:color w:val="auto"/>
          <w:highlight w:val="none"/>
          <w:lang w:val="zh-CN" w:eastAsia="zh-CN"/>
        </w:rPr>
      </w:pPr>
    </w:p>
    <w:p>
      <w:pPr>
        <w:autoSpaceDE w:val="0"/>
        <w:autoSpaceDN w:val="0"/>
        <w:adjustRightInd w:val="0"/>
        <w:spacing w:line="500" w:lineRule="exact"/>
        <w:rPr>
          <w:rFonts w:ascii="宋体" w:hAnsi="宋体" w:eastAsia="宋体" w:cs="宋体"/>
          <w:b/>
          <w:bCs/>
          <w:color w:val="auto"/>
          <w:sz w:val="36"/>
          <w:szCs w:val="36"/>
          <w:highlight w:val="none"/>
          <w:lang w:val="zh-CN"/>
        </w:rPr>
      </w:pPr>
    </w:p>
    <w:p>
      <w:pPr>
        <w:pStyle w:val="9"/>
        <w:rPr>
          <w:color w:val="auto"/>
          <w:highlight w:val="none"/>
          <w:lang w:val="zh-CN"/>
        </w:rPr>
      </w:pPr>
    </w:p>
    <w:p>
      <w:pPr>
        <w:rPr>
          <w:color w:val="auto"/>
          <w:highlight w:val="none"/>
          <w:lang w:val="zh-CN"/>
        </w:rPr>
      </w:pPr>
    </w:p>
    <w:p>
      <w:pPr>
        <w:pStyle w:val="27"/>
        <w:ind w:firstLine="0" w:firstLineChars="0"/>
        <w:rPr>
          <w:color w:val="auto"/>
          <w:highlight w:val="none"/>
          <w:lang w:val="zh-CN"/>
        </w:rPr>
      </w:pPr>
    </w:p>
    <w:p>
      <w:pPr>
        <w:autoSpaceDE w:val="0"/>
        <w:autoSpaceDN w:val="0"/>
        <w:adjustRightInd w:val="0"/>
        <w:spacing w:line="360" w:lineRule="auto"/>
        <w:ind w:left="2952" w:hanging="2168"/>
        <w:rPr>
          <w:rFonts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采购人：长垣技师学院（长垣职业中等专业学校）</w:t>
      </w:r>
    </w:p>
    <w:p>
      <w:pPr>
        <w:autoSpaceDE w:val="0"/>
        <w:autoSpaceDN w:val="0"/>
        <w:adjustRightInd w:val="0"/>
        <w:spacing w:line="360" w:lineRule="auto"/>
        <w:ind w:left="2952" w:hanging="2168"/>
        <w:rPr>
          <w:rFonts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采购代理机构：河南省新源建设工程管理有限公司</w:t>
      </w:r>
    </w:p>
    <w:p>
      <w:pPr>
        <w:autoSpaceDE w:val="0"/>
        <w:autoSpaceDN w:val="0"/>
        <w:adjustRightInd w:val="0"/>
        <w:spacing w:line="360" w:lineRule="auto"/>
        <w:ind w:left="3755" w:hanging="181"/>
        <w:rPr>
          <w:rFonts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二○二二年</w:t>
      </w:r>
      <w:r>
        <w:rPr>
          <w:rFonts w:hint="eastAsia" w:ascii="宋体" w:hAnsi="宋体" w:eastAsia="宋体" w:cs="宋体"/>
          <w:b/>
          <w:bCs/>
          <w:color w:val="auto"/>
          <w:szCs w:val="32"/>
          <w:highlight w:val="none"/>
          <w:lang w:val="zh-CN" w:eastAsia="zh-CN"/>
        </w:rPr>
        <w:t>十</w:t>
      </w:r>
      <w:r>
        <w:rPr>
          <w:rFonts w:hint="eastAsia" w:ascii="宋体" w:hAnsi="宋体" w:eastAsia="宋体" w:cs="宋体"/>
          <w:b/>
          <w:bCs/>
          <w:color w:val="auto"/>
          <w:szCs w:val="32"/>
          <w:highlight w:val="none"/>
          <w:lang w:val="zh-CN"/>
        </w:rPr>
        <w:t>月</w:t>
      </w:r>
    </w:p>
    <w:p>
      <w:pPr>
        <w:spacing w:line="500" w:lineRule="exact"/>
        <w:jc w:val="center"/>
        <w:rPr>
          <w:rFonts w:hint="eastAsia" w:ascii="宋体" w:hAnsi="宋体" w:eastAsia="宋体" w:cs="宋体"/>
          <w:b/>
          <w:bCs/>
          <w:color w:val="auto"/>
          <w:sz w:val="36"/>
          <w:szCs w:val="36"/>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134" w:header="964" w:footer="851" w:gutter="0"/>
          <w:pgNumType w:fmt="numberInDash"/>
          <w:cols w:space="720" w:num="1"/>
          <w:docGrid w:type="linesAndChars" w:linePitch="312" w:charSpace="0"/>
        </w:sectPr>
      </w:pPr>
      <w:bookmarkStart w:id="112" w:name="_GoBack"/>
      <w:bookmarkEnd w:id="112"/>
    </w:p>
    <w:p>
      <w:pPr>
        <w:spacing w:line="500" w:lineRule="exact"/>
        <w:jc w:val="center"/>
        <w:rPr>
          <w:rFonts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     录</w:t>
      </w:r>
    </w:p>
    <w:p>
      <w:pPr>
        <w:pStyle w:val="19"/>
        <w:tabs>
          <w:tab w:val="right" w:leader="dot" w:pos="9638"/>
        </w:tabs>
        <w:rPr>
          <w:color w:val="auto"/>
          <w:highlight w:val="none"/>
        </w:rPr>
      </w:pPr>
      <w:r>
        <w:rPr>
          <w:rFonts w:ascii="宋体" w:hAnsi="宋体" w:eastAsia="宋体" w:cs="宋体"/>
          <w:color w:val="auto"/>
          <w:sz w:val="24"/>
          <w:highlight w:val="none"/>
          <w:lang w:val="zh-CN"/>
        </w:rPr>
        <w:fldChar w:fldCharType="begin"/>
      </w:r>
      <w:r>
        <w:rPr>
          <w:rFonts w:ascii="宋体" w:hAnsi="宋体" w:eastAsia="宋体" w:cs="宋体"/>
          <w:color w:val="auto"/>
          <w:sz w:val="24"/>
          <w:highlight w:val="none"/>
          <w:lang w:val="zh-CN"/>
        </w:rPr>
        <w:instrText xml:space="preserve">TOC \o "1-3" \h \u </w:instrText>
      </w:r>
      <w:r>
        <w:rPr>
          <w:rFonts w:ascii="宋体" w:hAnsi="宋体" w:eastAsia="宋体" w:cs="宋体"/>
          <w:color w:val="auto"/>
          <w:sz w:val="24"/>
          <w:highlight w:val="none"/>
          <w:lang w:val="zh-CN"/>
        </w:rPr>
        <w:fldChar w:fldCharType="separate"/>
      </w: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_Toc4194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第一章 长垣技师学院(长垣职业中等学校)实训室建设项目投标邀请</w:t>
      </w:r>
      <w:r>
        <w:rPr>
          <w:color w:val="auto"/>
          <w:highlight w:val="none"/>
        </w:rPr>
        <w:tab/>
      </w:r>
      <w:r>
        <w:rPr>
          <w:color w:val="auto"/>
          <w:highlight w:val="none"/>
        </w:rPr>
        <w:fldChar w:fldCharType="begin"/>
      </w:r>
      <w:r>
        <w:rPr>
          <w:color w:val="auto"/>
          <w:highlight w:val="none"/>
        </w:rPr>
        <w:instrText xml:space="preserve"> PAGEREF _Toc4194 \h </w:instrText>
      </w:r>
      <w:r>
        <w:rPr>
          <w:color w:val="auto"/>
          <w:highlight w:val="none"/>
        </w:rPr>
        <w:fldChar w:fldCharType="separate"/>
      </w:r>
      <w:r>
        <w:rPr>
          <w:color w:val="auto"/>
          <w:highlight w:val="none"/>
        </w:rPr>
        <w:t>- 1 -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_Toc28624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第二章 供应商须知前附表</w:t>
      </w:r>
      <w:r>
        <w:rPr>
          <w:color w:val="auto"/>
          <w:highlight w:val="none"/>
        </w:rPr>
        <w:tab/>
      </w:r>
      <w:r>
        <w:rPr>
          <w:color w:val="auto"/>
          <w:highlight w:val="none"/>
        </w:rPr>
        <w:fldChar w:fldCharType="begin"/>
      </w:r>
      <w:r>
        <w:rPr>
          <w:color w:val="auto"/>
          <w:highlight w:val="none"/>
        </w:rPr>
        <w:instrText xml:space="preserve"> PAGEREF _Toc28624 \h </w:instrText>
      </w:r>
      <w:r>
        <w:rPr>
          <w:color w:val="auto"/>
          <w:highlight w:val="none"/>
        </w:rPr>
        <w:fldChar w:fldCharType="separate"/>
      </w:r>
      <w:r>
        <w:rPr>
          <w:color w:val="auto"/>
          <w:highlight w:val="none"/>
        </w:rPr>
        <w:t>- 6 -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_Toc6145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第三章</w:t>
      </w:r>
      <w:r>
        <w:rPr>
          <w:rFonts w:hint="eastAsia" w:ascii="宋体" w:hAnsi="宋体" w:eastAsia="宋体" w:cs="宋体"/>
          <w:bCs/>
          <w:color w:val="auto"/>
          <w:szCs w:val="36"/>
          <w:highlight w:val="none"/>
          <w:lang w:val="en-US" w:eastAsia="zh-CN"/>
        </w:rPr>
        <w:t xml:space="preserve"> </w:t>
      </w:r>
      <w:r>
        <w:rPr>
          <w:rFonts w:hint="eastAsia" w:ascii="宋体" w:hAnsi="宋体" w:eastAsia="宋体" w:cs="宋体"/>
          <w:bCs/>
          <w:color w:val="auto"/>
          <w:szCs w:val="36"/>
          <w:highlight w:val="none"/>
          <w:lang w:val="zh-CN"/>
        </w:rPr>
        <w:t>供应商须知</w:t>
      </w:r>
      <w:r>
        <w:rPr>
          <w:color w:val="auto"/>
          <w:highlight w:val="none"/>
        </w:rPr>
        <w:tab/>
      </w:r>
      <w:r>
        <w:rPr>
          <w:color w:val="auto"/>
          <w:highlight w:val="none"/>
        </w:rPr>
        <w:fldChar w:fldCharType="begin"/>
      </w:r>
      <w:r>
        <w:rPr>
          <w:color w:val="auto"/>
          <w:highlight w:val="none"/>
        </w:rPr>
        <w:instrText xml:space="preserve"> PAGEREF _Toc6145 \h </w:instrText>
      </w:r>
      <w:r>
        <w:rPr>
          <w:color w:val="auto"/>
          <w:highlight w:val="none"/>
        </w:rPr>
        <w:fldChar w:fldCharType="separate"/>
      </w:r>
      <w:r>
        <w:rPr>
          <w:color w:val="auto"/>
          <w:highlight w:val="none"/>
        </w:rPr>
        <w:t>- 11 -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_Toc18672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第四章 合  同（样本）</w:t>
      </w:r>
      <w:r>
        <w:rPr>
          <w:color w:val="auto"/>
          <w:highlight w:val="none"/>
        </w:rPr>
        <w:tab/>
      </w:r>
      <w:r>
        <w:rPr>
          <w:color w:val="auto"/>
          <w:highlight w:val="none"/>
        </w:rPr>
        <w:fldChar w:fldCharType="begin"/>
      </w:r>
      <w:r>
        <w:rPr>
          <w:color w:val="auto"/>
          <w:highlight w:val="none"/>
        </w:rPr>
        <w:instrText xml:space="preserve"> PAGEREF _Toc18672 \h </w:instrText>
      </w:r>
      <w:r>
        <w:rPr>
          <w:color w:val="auto"/>
          <w:highlight w:val="none"/>
        </w:rPr>
        <w:fldChar w:fldCharType="separate"/>
      </w:r>
      <w:r>
        <w:rPr>
          <w:color w:val="auto"/>
          <w:highlight w:val="none"/>
        </w:rPr>
        <w:t>- 24 -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_Toc721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第五章</w:t>
      </w:r>
      <w:r>
        <w:rPr>
          <w:rFonts w:hint="eastAsia" w:ascii="宋体" w:hAnsi="宋体" w:eastAsia="宋体" w:cs="宋体"/>
          <w:bCs/>
          <w:color w:val="auto"/>
          <w:szCs w:val="36"/>
          <w:highlight w:val="none"/>
          <w:lang w:val="en-US" w:eastAsia="zh-CN"/>
        </w:rPr>
        <w:t xml:space="preserve"> </w:t>
      </w:r>
      <w:r>
        <w:rPr>
          <w:rFonts w:hint="eastAsia" w:ascii="宋体" w:hAnsi="宋体" w:eastAsia="宋体" w:cs="宋体"/>
          <w:bCs/>
          <w:color w:val="auto"/>
          <w:szCs w:val="36"/>
          <w:highlight w:val="none"/>
          <w:lang w:val="zh-CN"/>
        </w:rPr>
        <w:t>采购需求</w:t>
      </w:r>
      <w:r>
        <w:rPr>
          <w:color w:val="auto"/>
          <w:highlight w:val="none"/>
        </w:rPr>
        <w:tab/>
      </w:r>
      <w:r>
        <w:rPr>
          <w:color w:val="auto"/>
          <w:highlight w:val="none"/>
        </w:rPr>
        <w:fldChar w:fldCharType="begin"/>
      </w:r>
      <w:r>
        <w:rPr>
          <w:color w:val="auto"/>
          <w:highlight w:val="none"/>
        </w:rPr>
        <w:instrText xml:space="preserve"> PAGEREF _Toc721 \h </w:instrText>
      </w:r>
      <w:r>
        <w:rPr>
          <w:color w:val="auto"/>
          <w:highlight w:val="none"/>
        </w:rPr>
        <w:fldChar w:fldCharType="separate"/>
      </w:r>
      <w:r>
        <w:rPr>
          <w:color w:val="auto"/>
          <w:highlight w:val="none"/>
        </w:rPr>
        <w:t>- 30 -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_Toc21396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第六章 评标办法和评标细则</w:t>
      </w:r>
      <w:r>
        <w:rPr>
          <w:color w:val="auto"/>
          <w:highlight w:val="none"/>
        </w:rPr>
        <w:tab/>
      </w:r>
      <w:r>
        <w:rPr>
          <w:color w:val="auto"/>
          <w:highlight w:val="none"/>
        </w:rPr>
        <w:fldChar w:fldCharType="begin"/>
      </w:r>
      <w:r>
        <w:rPr>
          <w:color w:val="auto"/>
          <w:highlight w:val="none"/>
        </w:rPr>
        <w:instrText xml:space="preserve"> PAGEREF _Toc21396 \h </w:instrText>
      </w:r>
      <w:r>
        <w:rPr>
          <w:color w:val="auto"/>
          <w:highlight w:val="none"/>
        </w:rPr>
        <w:fldChar w:fldCharType="separate"/>
      </w:r>
      <w:r>
        <w:rPr>
          <w:color w:val="auto"/>
          <w:highlight w:val="none"/>
        </w:rPr>
        <w:t>- 34 -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_Toc30924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第七章 投标文件格式</w:t>
      </w:r>
      <w:r>
        <w:rPr>
          <w:color w:val="auto"/>
          <w:highlight w:val="none"/>
        </w:rPr>
        <w:tab/>
      </w:r>
      <w:r>
        <w:rPr>
          <w:color w:val="auto"/>
          <w:highlight w:val="none"/>
        </w:rPr>
        <w:fldChar w:fldCharType="begin"/>
      </w:r>
      <w:r>
        <w:rPr>
          <w:color w:val="auto"/>
          <w:highlight w:val="none"/>
        </w:rPr>
        <w:instrText xml:space="preserve"> PAGEREF _Toc30924 \h </w:instrText>
      </w:r>
      <w:r>
        <w:rPr>
          <w:color w:val="auto"/>
          <w:highlight w:val="none"/>
        </w:rPr>
        <w:fldChar w:fldCharType="separate"/>
      </w:r>
      <w:r>
        <w:rPr>
          <w:color w:val="auto"/>
          <w:highlight w:val="none"/>
        </w:rPr>
        <w:t>- 41 -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_Toc19088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2"/>
          <w:highlight w:val="none"/>
          <w:lang w:val="zh-CN" w:eastAsia="zh-CN"/>
        </w:rPr>
        <w:t>一、</w:t>
      </w:r>
      <w:r>
        <w:rPr>
          <w:rFonts w:hint="eastAsia" w:ascii="宋体" w:hAnsi="宋体" w:eastAsia="宋体" w:cs="宋体"/>
          <w:bCs/>
          <w:color w:val="auto"/>
          <w:szCs w:val="32"/>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_Toc19088 \h </w:instrText>
      </w:r>
      <w:r>
        <w:rPr>
          <w:color w:val="auto"/>
          <w:highlight w:val="none"/>
        </w:rPr>
        <w:fldChar w:fldCharType="separate"/>
      </w:r>
      <w:r>
        <w:rPr>
          <w:color w:val="auto"/>
          <w:highlight w:val="none"/>
        </w:rPr>
        <w:t>- 43 -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_Toc14638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28"/>
          <w:highlight w:val="none"/>
          <w:lang w:val="zh-CN"/>
        </w:rPr>
        <w:t>二、</w:t>
      </w:r>
      <w:r>
        <w:rPr>
          <w:rFonts w:hint="eastAsia" w:ascii="宋体" w:hAnsi="宋体" w:eastAsia="宋体" w:cs="宋体"/>
          <w:bCs/>
          <w:color w:val="auto"/>
          <w:szCs w:val="32"/>
          <w:highlight w:val="none"/>
          <w:lang w:val="zh-CN"/>
        </w:rPr>
        <w:t>开标一览表</w:t>
      </w:r>
      <w:r>
        <w:rPr>
          <w:color w:val="auto"/>
          <w:highlight w:val="none"/>
        </w:rPr>
        <w:tab/>
      </w:r>
      <w:r>
        <w:rPr>
          <w:color w:val="auto"/>
          <w:highlight w:val="none"/>
        </w:rPr>
        <w:fldChar w:fldCharType="begin"/>
      </w:r>
      <w:r>
        <w:rPr>
          <w:color w:val="auto"/>
          <w:highlight w:val="none"/>
        </w:rPr>
        <w:instrText xml:space="preserve"> PAGEREF _Toc14638 \h </w:instrText>
      </w:r>
      <w:r>
        <w:rPr>
          <w:color w:val="auto"/>
          <w:highlight w:val="none"/>
        </w:rPr>
        <w:fldChar w:fldCharType="separate"/>
      </w:r>
      <w:r>
        <w:rPr>
          <w:color w:val="auto"/>
          <w:highlight w:val="none"/>
        </w:rPr>
        <w:t>- 44 -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_Toc2307 </w:instrText>
      </w:r>
      <w:r>
        <w:rPr>
          <w:rFonts w:ascii="宋体" w:hAnsi="宋体" w:eastAsia="宋体" w:cs="宋体"/>
          <w:color w:val="auto"/>
          <w:highlight w:val="none"/>
          <w:lang w:val="zh-CN"/>
        </w:rPr>
        <w:fldChar w:fldCharType="separate"/>
      </w:r>
      <w:r>
        <w:rPr>
          <w:rFonts w:hint="eastAsia" w:ascii="宋体" w:hAnsi="宋体" w:eastAsia="宋体" w:cs="宋体"/>
          <w:bCs/>
          <w:color w:val="auto"/>
          <w:kern w:val="0"/>
          <w:szCs w:val="32"/>
          <w:highlight w:val="none"/>
          <w:lang w:val="zh-CN" w:eastAsia="zh-CN" w:bidi="ar-SA"/>
        </w:rPr>
        <w:t>三、法定代表人身份证明及法定代表人授权书</w:t>
      </w:r>
      <w:r>
        <w:rPr>
          <w:color w:val="auto"/>
          <w:highlight w:val="none"/>
        </w:rPr>
        <w:tab/>
      </w:r>
      <w:r>
        <w:rPr>
          <w:color w:val="auto"/>
          <w:highlight w:val="none"/>
        </w:rPr>
        <w:fldChar w:fldCharType="begin"/>
      </w:r>
      <w:r>
        <w:rPr>
          <w:color w:val="auto"/>
          <w:highlight w:val="none"/>
        </w:rPr>
        <w:instrText xml:space="preserve"> PAGEREF _Toc2307 \h </w:instrText>
      </w:r>
      <w:r>
        <w:rPr>
          <w:color w:val="auto"/>
          <w:highlight w:val="none"/>
        </w:rPr>
        <w:fldChar w:fldCharType="separate"/>
      </w:r>
      <w:r>
        <w:rPr>
          <w:color w:val="auto"/>
          <w:highlight w:val="none"/>
        </w:rPr>
        <w:t>- 46 -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_Toc12328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32"/>
          <w:highlight w:val="none"/>
          <w:lang w:val="zh-CN"/>
        </w:rPr>
        <w:t>四、</w:t>
      </w:r>
      <w:r>
        <w:rPr>
          <w:rFonts w:hint="eastAsia" w:ascii="宋体" w:hAnsi="宋体" w:eastAsia="宋体" w:cs="宋体"/>
          <w:bCs/>
          <w:color w:val="auto"/>
          <w:szCs w:val="32"/>
          <w:highlight w:val="none"/>
        </w:rPr>
        <w:t>投标承诺函</w:t>
      </w:r>
      <w:r>
        <w:rPr>
          <w:color w:val="auto"/>
          <w:highlight w:val="none"/>
        </w:rPr>
        <w:tab/>
      </w:r>
      <w:r>
        <w:rPr>
          <w:color w:val="auto"/>
          <w:highlight w:val="none"/>
        </w:rPr>
        <w:fldChar w:fldCharType="begin"/>
      </w:r>
      <w:r>
        <w:rPr>
          <w:color w:val="auto"/>
          <w:highlight w:val="none"/>
        </w:rPr>
        <w:instrText xml:space="preserve"> PAGEREF _Toc12328 \h </w:instrText>
      </w:r>
      <w:r>
        <w:rPr>
          <w:color w:val="auto"/>
          <w:highlight w:val="none"/>
        </w:rPr>
        <w:fldChar w:fldCharType="separate"/>
      </w:r>
      <w:r>
        <w:rPr>
          <w:color w:val="auto"/>
          <w:highlight w:val="none"/>
        </w:rPr>
        <w:t>- 48 -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_Toc31165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32"/>
          <w:highlight w:val="none"/>
          <w:lang w:val="zh-CN"/>
        </w:rPr>
        <w:t>五</w:t>
      </w:r>
      <w:r>
        <w:rPr>
          <w:rFonts w:hint="eastAsia" w:ascii="宋体" w:hAnsi="宋体" w:eastAsia="宋体" w:cs="宋体"/>
          <w:color w:val="auto"/>
          <w:szCs w:val="28"/>
          <w:highlight w:val="none"/>
          <w:lang w:val="zh-CN"/>
        </w:rPr>
        <w:t>、商务要求响应情况表</w:t>
      </w:r>
      <w:r>
        <w:rPr>
          <w:color w:val="auto"/>
          <w:highlight w:val="none"/>
        </w:rPr>
        <w:tab/>
      </w:r>
      <w:r>
        <w:rPr>
          <w:color w:val="auto"/>
          <w:highlight w:val="none"/>
        </w:rPr>
        <w:fldChar w:fldCharType="begin"/>
      </w:r>
      <w:r>
        <w:rPr>
          <w:color w:val="auto"/>
          <w:highlight w:val="none"/>
        </w:rPr>
        <w:instrText xml:space="preserve"> PAGEREF _Toc31165 \h </w:instrText>
      </w:r>
      <w:r>
        <w:rPr>
          <w:color w:val="auto"/>
          <w:highlight w:val="none"/>
        </w:rPr>
        <w:fldChar w:fldCharType="separate"/>
      </w:r>
      <w:r>
        <w:rPr>
          <w:color w:val="auto"/>
          <w:highlight w:val="none"/>
        </w:rPr>
        <w:t>- 49 -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_Toc5922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21"/>
          <w:highlight w:val="none"/>
          <w:lang w:val="zh-CN"/>
        </w:rPr>
        <w:t>六</w:t>
      </w:r>
      <w:r>
        <w:rPr>
          <w:rFonts w:hint="eastAsia" w:ascii="宋体" w:hAnsi="宋体" w:eastAsia="宋体" w:cs="宋体"/>
          <w:color w:val="auto"/>
          <w:szCs w:val="28"/>
          <w:highlight w:val="none"/>
          <w:lang w:val="zh-CN"/>
        </w:rPr>
        <w:t>、反商业贿赂承诺书</w:t>
      </w:r>
      <w:r>
        <w:rPr>
          <w:color w:val="auto"/>
          <w:highlight w:val="none"/>
        </w:rPr>
        <w:tab/>
      </w:r>
      <w:r>
        <w:rPr>
          <w:color w:val="auto"/>
          <w:highlight w:val="none"/>
        </w:rPr>
        <w:fldChar w:fldCharType="begin"/>
      </w:r>
      <w:r>
        <w:rPr>
          <w:color w:val="auto"/>
          <w:highlight w:val="none"/>
        </w:rPr>
        <w:instrText xml:space="preserve"> PAGEREF _Toc5922 \h </w:instrText>
      </w:r>
      <w:r>
        <w:rPr>
          <w:color w:val="auto"/>
          <w:highlight w:val="none"/>
        </w:rPr>
        <w:fldChar w:fldCharType="separate"/>
      </w:r>
      <w:r>
        <w:rPr>
          <w:color w:val="auto"/>
          <w:highlight w:val="none"/>
        </w:rPr>
        <w:t>- 50 -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_Toc27384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28"/>
          <w:highlight w:val="none"/>
        </w:rPr>
        <w:t>七、落实的政府采购政策</w:t>
      </w:r>
      <w:r>
        <w:rPr>
          <w:color w:val="auto"/>
          <w:highlight w:val="none"/>
        </w:rPr>
        <w:tab/>
      </w:r>
      <w:r>
        <w:rPr>
          <w:color w:val="auto"/>
          <w:highlight w:val="none"/>
        </w:rPr>
        <w:fldChar w:fldCharType="begin"/>
      </w:r>
      <w:r>
        <w:rPr>
          <w:color w:val="auto"/>
          <w:highlight w:val="none"/>
        </w:rPr>
        <w:instrText xml:space="preserve"> PAGEREF _Toc27384 \h </w:instrText>
      </w:r>
      <w:r>
        <w:rPr>
          <w:color w:val="auto"/>
          <w:highlight w:val="none"/>
        </w:rPr>
        <w:fldChar w:fldCharType="separate"/>
      </w:r>
      <w:r>
        <w:rPr>
          <w:color w:val="auto"/>
          <w:highlight w:val="none"/>
        </w:rPr>
        <w:t>- 51 -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_Toc23574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28"/>
          <w:highlight w:val="none"/>
          <w:lang w:val="zh-CN"/>
        </w:rPr>
        <w:t>八、</w:t>
      </w:r>
      <w:r>
        <w:rPr>
          <w:rFonts w:hint="eastAsia" w:ascii="宋体" w:hAnsi="宋体" w:eastAsia="宋体"/>
          <w:color w:val="auto"/>
          <w:highlight w:val="none"/>
        </w:rPr>
        <w:t>政府采购节能/环保产品汇总表</w:t>
      </w:r>
      <w:r>
        <w:rPr>
          <w:color w:val="auto"/>
          <w:highlight w:val="none"/>
        </w:rPr>
        <w:tab/>
      </w:r>
      <w:r>
        <w:rPr>
          <w:color w:val="auto"/>
          <w:highlight w:val="none"/>
        </w:rPr>
        <w:fldChar w:fldCharType="begin"/>
      </w:r>
      <w:r>
        <w:rPr>
          <w:color w:val="auto"/>
          <w:highlight w:val="none"/>
        </w:rPr>
        <w:instrText xml:space="preserve"> PAGEREF _Toc23574 \h </w:instrText>
      </w:r>
      <w:r>
        <w:rPr>
          <w:color w:val="auto"/>
          <w:highlight w:val="none"/>
        </w:rPr>
        <w:fldChar w:fldCharType="separate"/>
      </w:r>
      <w:r>
        <w:rPr>
          <w:color w:val="auto"/>
          <w:highlight w:val="none"/>
        </w:rPr>
        <w:t>- 56 -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_Toc12484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28"/>
          <w:highlight w:val="none"/>
          <w:lang w:val="zh-CN"/>
        </w:rPr>
        <w:t>九、详细技术配置及参数偏差表</w:t>
      </w:r>
      <w:r>
        <w:rPr>
          <w:color w:val="auto"/>
          <w:highlight w:val="none"/>
        </w:rPr>
        <w:tab/>
      </w:r>
      <w:r>
        <w:rPr>
          <w:color w:val="auto"/>
          <w:highlight w:val="none"/>
        </w:rPr>
        <w:fldChar w:fldCharType="begin"/>
      </w:r>
      <w:r>
        <w:rPr>
          <w:color w:val="auto"/>
          <w:highlight w:val="none"/>
        </w:rPr>
        <w:instrText xml:space="preserve"> PAGEREF _Toc12484 \h </w:instrText>
      </w:r>
      <w:r>
        <w:rPr>
          <w:color w:val="auto"/>
          <w:highlight w:val="none"/>
        </w:rPr>
        <w:fldChar w:fldCharType="separate"/>
      </w:r>
      <w:r>
        <w:rPr>
          <w:color w:val="auto"/>
          <w:highlight w:val="none"/>
        </w:rPr>
        <w:t>- 57 -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_Toc12499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28"/>
          <w:highlight w:val="none"/>
          <w:lang w:val="zh-CN"/>
        </w:rPr>
        <w:t>十、其他资料</w:t>
      </w:r>
      <w:r>
        <w:rPr>
          <w:color w:val="auto"/>
          <w:highlight w:val="none"/>
        </w:rPr>
        <w:tab/>
      </w:r>
      <w:r>
        <w:rPr>
          <w:color w:val="auto"/>
          <w:highlight w:val="none"/>
        </w:rPr>
        <w:fldChar w:fldCharType="begin"/>
      </w:r>
      <w:r>
        <w:rPr>
          <w:color w:val="auto"/>
          <w:highlight w:val="none"/>
        </w:rPr>
        <w:instrText xml:space="preserve"> PAGEREF _Toc12499 \h </w:instrText>
      </w:r>
      <w:r>
        <w:rPr>
          <w:color w:val="auto"/>
          <w:highlight w:val="none"/>
        </w:rPr>
        <w:fldChar w:fldCharType="separate"/>
      </w:r>
      <w:r>
        <w:rPr>
          <w:color w:val="auto"/>
          <w:highlight w:val="none"/>
        </w:rPr>
        <w:t>- 58 -</w:t>
      </w:r>
      <w:r>
        <w:rPr>
          <w:color w:val="auto"/>
          <w:highlight w:val="none"/>
        </w:rPr>
        <w:fldChar w:fldCharType="end"/>
      </w:r>
      <w:r>
        <w:rPr>
          <w:rFonts w:ascii="宋体" w:hAnsi="宋体" w:eastAsia="宋体" w:cs="宋体"/>
          <w:color w:val="auto"/>
          <w:highlight w:val="none"/>
          <w:lang w:val="zh-CN"/>
        </w:rPr>
        <w:fldChar w:fldCharType="end"/>
      </w:r>
    </w:p>
    <w:p>
      <w:pPr>
        <w:autoSpaceDE w:val="0"/>
        <w:autoSpaceDN w:val="0"/>
        <w:adjustRightInd w:val="0"/>
        <w:spacing w:line="500" w:lineRule="exact"/>
        <w:ind w:firstLine="720"/>
        <w:rPr>
          <w:rFonts w:ascii="宋体" w:hAnsi="宋体" w:eastAsia="宋体" w:cs="宋体"/>
          <w:color w:val="auto"/>
          <w:sz w:val="24"/>
          <w:highlight w:val="none"/>
          <w:lang w:val="zh-CN"/>
        </w:rPr>
      </w:pPr>
      <w:r>
        <w:rPr>
          <w:rFonts w:ascii="宋体" w:hAnsi="宋体" w:eastAsia="宋体" w:cs="宋体"/>
          <w:color w:val="auto"/>
          <w:highlight w:val="none"/>
          <w:lang w:val="zh-CN"/>
        </w:rPr>
        <w:fldChar w:fldCharType="end"/>
      </w:r>
    </w:p>
    <w:p>
      <w:pPr>
        <w:autoSpaceDE w:val="0"/>
        <w:autoSpaceDN w:val="0"/>
        <w:adjustRightInd w:val="0"/>
        <w:spacing w:after="156" w:line="500" w:lineRule="exact"/>
        <w:jc w:val="center"/>
        <w:rPr>
          <w:rFonts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ascii="宋体" w:hAnsi="宋体" w:eastAsia="宋体" w:cs="宋体"/>
          <w:b/>
          <w:bCs/>
          <w:color w:val="auto"/>
          <w:sz w:val="36"/>
          <w:szCs w:val="36"/>
          <w:highlight w:val="none"/>
          <w:lang w:val="zh-CN"/>
        </w:rPr>
        <w:sectPr>
          <w:footerReference r:id="rId9" w:type="default"/>
          <w:pgSz w:w="11906" w:h="16838"/>
          <w:pgMar w:top="1134" w:right="1134" w:bottom="851" w:left="1134" w:header="964" w:footer="851" w:gutter="0"/>
          <w:pgNumType w:fmt="numberInDash" w:start="1"/>
          <w:cols w:space="720" w:num="1"/>
          <w:docGrid w:type="linesAndChars" w:linePitch="312" w:charSpace="0"/>
        </w:sectPr>
      </w:pPr>
      <w:bookmarkStart w:id="0" w:name="_Toc14945"/>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bookmarkStart w:id="1" w:name="_Toc26383"/>
      <w:bookmarkStart w:id="2" w:name="_Toc13024"/>
      <w:bookmarkStart w:id="3" w:name="_Toc4194"/>
      <w:bookmarkStart w:id="4" w:name="_Toc4404"/>
      <w:bookmarkStart w:id="5" w:name="_Toc72253187"/>
      <w:r>
        <w:rPr>
          <w:rFonts w:hint="eastAsia" w:ascii="宋体" w:hAnsi="宋体" w:eastAsia="宋体" w:cs="宋体"/>
          <w:b/>
          <w:bCs/>
          <w:color w:val="auto"/>
          <w:sz w:val="36"/>
          <w:szCs w:val="36"/>
          <w:highlight w:val="none"/>
          <w:lang w:val="zh-CN"/>
        </w:rPr>
        <w:t>第一章 长垣技师学院(长垣职业中等学校)实训室建设项目投标邀请</w:t>
      </w:r>
      <w:bookmarkEnd w:id="0"/>
      <w:bookmarkEnd w:id="1"/>
      <w:bookmarkEnd w:id="2"/>
      <w:bookmarkEnd w:id="3"/>
      <w:bookmarkEnd w:id="4"/>
      <w:bookmarkEnd w:id="5"/>
    </w:p>
    <w:tbl>
      <w:tblPr>
        <w:tblStyle w:val="28"/>
        <w:tblW w:w="0" w:type="auto"/>
        <w:tblCellSpacing w:w="15" w:type="dxa"/>
        <w:tblInd w:w="0" w:type="dxa"/>
        <w:tblLayout w:type="autofit"/>
        <w:tblCellMar>
          <w:top w:w="15" w:type="dxa"/>
          <w:left w:w="15" w:type="dxa"/>
          <w:bottom w:w="15" w:type="dxa"/>
          <w:right w:w="15" w:type="dxa"/>
        </w:tblCellMar>
      </w:tblPr>
      <w:tblGrid>
        <w:gridCol w:w="9602"/>
        <w:gridCol w:w="126"/>
      </w:tblGrid>
      <w:tr>
        <w:tblPrEx>
          <w:tblCellMar>
            <w:top w:w="15" w:type="dxa"/>
            <w:left w:w="15" w:type="dxa"/>
            <w:bottom w:w="15" w:type="dxa"/>
            <w:right w:w="15" w:type="dxa"/>
          </w:tblCellMar>
        </w:tblPrEx>
        <w:trPr>
          <w:gridAfter w:val="1"/>
          <w:wAfter w:w="81" w:type="dxa"/>
          <w:trHeight w:val="90" w:hRule="atLeast"/>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项目概况</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zh-CN" w:eastAsia="zh-CN"/>
              </w:rPr>
              <w:t>长垣技师学院(长垣职业中等学校)实训室建设项目</w:t>
            </w:r>
            <w:r>
              <w:rPr>
                <w:rFonts w:ascii="Microsoft Yahei Font" w:hAnsi="Microsoft Yahei Font" w:eastAsia="宋体" w:cs="Arial"/>
                <w:color w:val="auto"/>
                <w:sz w:val="24"/>
                <w:szCs w:val="24"/>
                <w:highlight w:val="none"/>
                <w:lang w:val="en-US" w:eastAsia="zh-CN"/>
              </w:rPr>
              <w:t>的潜在</w:t>
            </w:r>
            <w:r>
              <w:rPr>
                <w:rFonts w:hint="eastAsia" w:ascii="Microsoft Yahei Font" w:hAnsi="Microsoft Yahei Font" w:eastAsia="宋体" w:cs="Arial"/>
                <w:color w:val="auto"/>
                <w:sz w:val="24"/>
                <w:szCs w:val="24"/>
                <w:highlight w:val="none"/>
                <w:lang w:val="en-US" w:eastAsia="zh-CN"/>
              </w:rPr>
              <w:t>供应商</w:t>
            </w:r>
            <w:r>
              <w:rPr>
                <w:rFonts w:ascii="Microsoft Yahei Font" w:hAnsi="Microsoft Yahei Font" w:eastAsia="宋体" w:cs="Arial"/>
                <w:color w:val="auto"/>
                <w:sz w:val="24"/>
                <w:szCs w:val="24"/>
                <w:highlight w:val="none"/>
                <w:lang w:val="en-US" w:eastAsia="zh-CN"/>
              </w:rPr>
              <w:t>应在《全国公共资源交易平台（河南省·长垣市）》（网址：</w:t>
            </w:r>
            <w:r>
              <w:rPr>
                <w:rFonts w:ascii="Microsoft Yahei Font" w:hAnsi="Microsoft Yahei Font" w:eastAsia="宋体" w:cs="Arial"/>
                <w:color w:val="auto"/>
                <w:sz w:val="24"/>
                <w:szCs w:val="24"/>
                <w:highlight w:val="none"/>
                <w:lang w:val="en-US" w:eastAsia="zh-CN"/>
              </w:rPr>
              <w:fldChar w:fldCharType="begin"/>
            </w:r>
            <w:r>
              <w:rPr>
                <w:rFonts w:ascii="Microsoft Yahei Font" w:hAnsi="Microsoft Yahei Font" w:eastAsia="宋体" w:cs="Arial"/>
                <w:color w:val="auto"/>
                <w:sz w:val="24"/>
                <w:szCs w:val="24"/>
                <w:highlight w:val="none"/>
                <w:lang w:val="en-US" w:eastAsia="zh-CN"/>
              </w:rPr>
              <w:instrText xml:space="preserve"> HYPERLINK "http://www.cyxggzy.cn/）获取招标文件，并于2021年" </w:instrText>
            </w:r>
            <w:r>
              <w:rPr>
                <w:rFonts w:ascii="Microsoft Yahei Font" w:hAnsi="Microsoft Yahei Font" w:eastAsia="宋体" w:cs="Arial"/>
                <w:color w:val="auto"/>
                <w:sz w:val="24"/>
                <w:szCs w:val="24"/>
                <w:highlight w:val="none"/>
                <w:lang w:val="en-US" w:eastAsia="zh-CN"/>
              </w:rPr>
              <w:fldChar w:fldCharType="separate"/>
            </w:r>
            <w:r>
              <w:rPr>
                <w:rFonts w:hint="eastAsia" w:ascii="Microsoft Yahei Font" w:hAnsi="Microsoft Yahei Font" w:eastAsia="宋体" w:cs="Arial"/>
                <w:color w:val="auto"/>
                <w:sz w:val="24"/>
                <w:szCs w:val="24"/>
                <w:highlight w:val="none"/>
                <w:lang w:val="en-US" w:eastAsia="zh-CN"/>
              </w:rPr>
              <w:t>http://new.cyxggzy.cn/</w:t>
            </w:r>
            <w:r>
              <w:rPr>
                <w:rFonts w:ascii="Microsoft Yahei Font" w:hAnsi="Microsoft Yahei Font" w:eastAsia="宋体" w:cs="Arial"/>
                <w:color w:val="auto"/>
                <w:sz w:val="24"/>
                <w:szCs w:val="24"/>
                <w:highlight w:val="none"/>
                <w:lang w:val="en-US" w:eastAsia="zh-CN"/>
              </w:rPr>
              <w:t>）获取</w:t>
            </w:r>
            <w:r>
              <w:rPr>
                <w:rFonts w:hint="eastAsia" w:ascii="Microsoft Yahei Font" w:hAnsi="Microsoft Yahei Font" w:eastAsia="宋体" w:cs="Arial"/>
                <w:color w:val="auto"/>
                <w:sz w:val="24"/>
                <w:szCs w:val="24"/>
                <w:highlight w:val="none"/>
                <w:lang w:val="en-US" w:eastAsia="zh-CN"/>
              </w:rPr>
              <w:t>招标文件</w:t>
            </w:r>
            <w:r>
              <w:rPr>
                <w:rFonts w:ascii="Microsoft Yahei Font" w:hAnsi="Microsoft Yahei Font" w:eastAsia="宋体" w:cs="Arial"/>
                <w:color w:val="auto"/>
                <w:sz w:val="24"/>
                <w:szCs w:val="24"/>
                <w:highlight w:val="none"/>
                <w:lang w:val="en-US" w:eastAsia="zh-CN"/>
              </w:rPr>
              <w:t>，并于202</w:t>
            </w:r>
            <w:r>
              <w:rPr>
                <w:rFonts w:hint="eastAsia" w:ascii="Microsoft Yahei Font" w:hAnsi="Microsoft Yahei Font" w:eastAsia="宋体" w:cs="Arial"/>
                <w:color w:val="auto"/>
                <w:sz w:val="24"/>
                <w:szCs w:val="24"/>
                <w:highlight w:val="none"/>
                <w:lang w:val="en-US" w:eastAsia="zh-CN"/>
              </w:rPr>
              <w:t>2</w:t>
            </w:r>
            <w:r>
              <w:rPr>
                <w:rFonts w:ascii="Microsoft Yahei Font" w:hAnsi="Microsoft Yahei Font" w:eastAsia="宋体" w:cs="Arial"/>
                <w:color w:val="auto"/>
                <w:sz w:val="24"/>
                <w:szCs w:val="24"/>
                <w:highlight w:val="none"/>
                <w:lang w:val="en-US" w:eastAsia="zh-CN"/>
              </w:rPr>
              <w:t>年</w:t>
            </w:r>
            <w:r>
              <w:rPr>
                <w:rFonts w:ascii="Microsoft Yahei Font" w:hAnsi="Microsoft Yahei Font" w:eastAsia="宋体" w:cs="Arial"/>
                <w:color w:val="auto"/>
                <w:sz w:val="24"/>
                <w:szCs w:val="24"/>
                <w:highlight w:val="none"/>
                <w:lang w:val="en-US" w:eastAsia="zh-CN"/>
              </w:rPr>
              <w:fldChar w:fldCharType="end"/>
            </w:r>
            <w:r>
              <w:rPr>
                <w:rFonts w:hint="eastAsia" w:ascii="Microsoft Yahei Font" w:hAnsi="Microsoft Yahei Font" w:eastAsia="宋体" w:cs="Arial"/>
                <w:color w:val="auto"/>
                <w:sz w:val="24"/>
                <w:szCs w:val="24"/>
                <w:highlight w:val="none"/>
                <w:lang w:val="en-US" w:eastAsia="zh-CN"/>
              </w:rPr>
              <w:t>11</w:t>
            </w:r>
            <w:r>
              <w:rPr>
                <w:rFonts w:ascii="Microsoft Yahei Font" w:hAnsi="Microsoft Yahei Font" w:eastAsia="宋体" w:cs="Arial"/>
                <w:color w:val="auto"/>
                <w:sz w:val="24"/>
                <w:szCs w:val="24"/>
                <w:highlight w:val="none"/>
                <w:lang w:val="en-US" w:eastAsia="zh-CN"/>
              </w:rPr>
              <w:t>月</w:t>
            </w:r>
            <w:r>
              <w:rPr>
                <w:rFonts w:hint="eastAsia" w:ascii="Microsoft Yahei Font" w:hAnsi="Microsoft Yahei Font" w:eastAsia="宋体" w:cs="Arial"/>
                <w:color w:val="auto"/>
                <w:sz w:val="24"/>
                <w:szCs w:val="24"/>
                <w:highlight w:val="none"/>
                <w:lang w:val="en-US" w:eastAsia="zh-CN"/>
              </w:rPr>
              <w:t>11</w:t>
            </w:r>
            <w:r>
              <w:rPr>
                <w:rFonts w:ascii="Microsoft Yahei Font" w:hAnsi="Microsoft Yahei Font" w:eastAsia="宋体" w:cs="Arial"/>
                <w:color w:val="auto"/>
                <w:sz w:val="24"/>
                <w:szCs w:val="24"/>
                <w:highlight w:val="none"/>
                <w:lang w:val="en-US" w:eastAsia="zh-CN"/>
              </w:rPr>
              <w:t>日</w:t>
            </w:r>
            <w:r>
              <w:rPr>
                <w:rFonts w:hint="eastAsia" w:ascii="Microsoft Yahei Font" w:hAnsi="Microsoft Yahei Font" w:eastAsia="宋体" w:cs="Arial"/>
                <w:color w:val="auto"/>
                <w:sz w:val="24"/>
                <w:szCs w:val="24"/>
                <w:highlight w:val="none"/>
                <w:lang w:val="en-US" w:eastAsia="zh-CN"/>
              </w:rPr>
              <w:t>08</w:t>
            </w:r>
            <w:r>
              <w:rPr>
                <w:rFonts w:ascii="Microsoft Yahei Font" w:hAnsi="Microsoft Yahei Font" w:eastAsia="宋体" w:cs="Arial"/>
                <w:color w:val="auto"/>
                <w:sz w:val="24"/>
                <w:szCs w:val="24"/>
                <w:highlight w:val="none"/>
                <w:lang w:val="en-US" w:eastAsia="zh-CN"/>
              </w:rPr>
              <w:t>时</w:t>
            </w:r>
            <w:r>
              <w:rPr>
                <w:rFonts w:hint="eastAsia" w:ascii="Microsoft Yahei Font" w:hAnsi="Microsoft Yahei Font" w:eastAsia="宋体" w:cs="Arial"/>
                <w:color w:val="auto"/>
                <w:sz w:val="24"/>
                <w:szCs w:val="24"/>
                <w:highlight w:val="none"/>
                <w:lang w:val="en-US" w:eastAsia="zh-CN"/>
              </w:rPr>
              <w:t>30</w:t>
            </w:r>
            <w:r>
              <w:rPr>
                <w:rFonts w:ascii="Microsoft Yahei Font" w:hAnsi="Microsoft Yahei Font" w:eastAsia="宋体" w:cs="Arial"/>
                <w:color w:val="auto"/>
                <w:sz w:val="24"/>
                <w:szCs w:val="24"/>
                <w:highlight w:val="none"/>
                <w:lang w:val="en-US" w:eastAsia="zh-CN"/>
              </w:rPr>
              <w:t>分（北京时间</w:t>
            </w:r>
            <w:r>
              <w:rPr>
                <w:rFonts w:ascii="Microsoft Yahei Font" w:hAnsi="Microsoft Yahei Font" w:eastAsia="宋体" w:cs="Arial"/>
                <w:color w:val="auto"/>
                <w:sz w:val="24"/>
                <w:szCs w:val="24"/>
                <w:highlight w:val="none"/>
              </w:rPr>
              <w:t>）前递交</w:t>
            </w:r>
            <w:r>
              <w:rPr>
                <w:rFonts w:hint="eastAsia" w:ascii="Microsoft Yahei Font" w:hAnsi="Microsoft Yahei Font" w:eastAsia="宋体" w:cs="Arial"/>
                <w:color w:val="auto"/>
                <w:sz w:val="24"/>
                <w:szCs w:val="24"/>
                <w:highlight w:val="none"/>
              </w:rPr>
              <w:t>投标文件</w:t>
            </w:r>
            <w:r>
              <w:rPr>
                <w:rFonts w:ascii="Microsoft Yahei Font" w:hAnsi="Microsoft Yahei Font" w:eastAsia="宋体" w:cs="Arial"/>
                <w:color w:val="auto"/>
                <w:sz w:val="24"/>
                <w:szCs w:val="24"/>
                <w:highlight w:val="none"/>
              </w:rPr>
              <w:t>。</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一、项目基本情况</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w:t>
            </w:r>
            <w:r>
              <w:rPr>
                <w:rFonts w:hint="eastAsia" w:ascii="Microsoft Yahei Font" w:hAnsi="Microsoft Yahei Font" w:eastAsia="宋体" w:cs="Arial"/>
                <w:color w:val="auto"/>
                <w:sz w:val="24"/>
                <w:szCs w:val="24"/>
                <w:highlight w:val="none"/>
              </w:rPr>
              <w:t>采购项目编号</w:t>
            </w:r>
            <w:r>
              <w:rPr>
                <w:rFonts w:ascii="Microsoft Yahei Font" w:hAnsi="Microsoft Yahei Font" w:eastAsia="宋体" w:cs="Arial"/>
                <w:color w:val="auto"/>
                <w:sz w:val="24"/>
                <w:szCs w:val="24"/>
                <w:highlight w:val="none"/>
              </w:rPr>
              <w:t>：长财招标采购-202</w:t>
            </w:r>
            <w:r>
              <w:rPr>
                <w:rFonts w:hint="eastAsia" w:ascii="Microsoft Yahei Font" w:hAnsi="Microsoft Yahei Font" w:eastAsia="宋体" w:cs="Arial"/>
                <w:color w:val="auto"/>
                <w:sz w:val="24"/>
                <w:szCs w:val="24"/>
                <w:highlight w:val="none"/>
              </w:rPr>
              <w:t>2</w:t>
            </w:r>
            <w:r>
              <w:rPr>
                <w:rFonts w:ascii="Microsoft Yahei Font" w:hAnsi="Microsoft Yahei Font" w:eastAsia="宋体" w:cs="Arial"/>
                <w:color w:val="auto"/>
                <w:sz w:val="24"/>
                <w:szCs w:val="24"/>
                <w:highlight w:val="none"/>
              </w:rPr>
              <w:t>-</w:t>
            </w:r>
            <w:r>
              <w:rPr>
                <w:rFonts w:hint="eastAsia" w:ascii="Microsoft Yahei Font" w:hAnsi="Microsoft Yahei Font" w:eastAsia="宋体" w:cs="Arial"/>
                <w:color w:val="auto"/>
                <w:sz w:val="24"/>
                <w:szCs w:val="24"/>
                <w:highlight w:val="none"/>
                <w:lang w:val="en-US" w:eastAsia="zh-CN"/>
              </w:rPr>
              <w:t xml:space="preserve">158   </w:t>
            </w:r>
            <w:r>
              <w:rPr>
                <w:rFonts w:hint="eastAsia" w:ascii="Microsoft Yahei Font" w:hAnsi="Microsoft Yahei Font" w:eastAsia="宋体" w:cs="Arial"/>
                <w:color w:val="auto"/>
                <w:sz w:val="24"/>
                <w:szCs w:val="24"/>
                <w:highlight w:val="none"/>
              </w:rPr>
              <w:t xml:space="preserve">     </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lang w:eastAsia="zh-CN"/>
              </w:rPr>
            </w:pPr>
            <w:r>
              <w:rPr>
                <w:rFonts w:ascii="Microsoft Yahei Font" w:hAnsi="Microsoft Yahei Font" w:eastAsia="宋体" w:cs="Arial"/>
                <w:color w:val="auto"/>
                <w:sz w:val="24"/>
                <w:szCs w:val="24"/>
                <w:highlight w:val="none"/>
              </w:rPr>
              <w:t>2、项目名称：</w:t>
            </w:r>
            <w:r>
              <w:rPr>
                <w:rFonts w:hint="eastAsia" w:ascii="Microsoft Yahei Font" w:hAnsi="Microsoft Yahei Font" w:eastAsia="宋体" w:cs="Arial"/>
                <w:color w:val="auto"/>
                <w:sz w:val="24"/>
                <w:szCs w:val="24"/>
                <w:highlight w:val="none"/>
                <w:lang w:eastAsia="zh-CN"/>
              </w:rPr>
              <w:t>长垣技师学院(长垣职业中等学校)实训室建设项目</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3、采购方式：</w:t>
            </w:r>
            <w:r>
              <w:rPr>
                <w:rFonts w:hint="eastAsia" w:ascii="Microsoft Yahei Font" w:hAnsi="Microsoft Yahei Font" w:eastAsia="宋体" w:cs="Arial"/>
                <w:color w:val="auto"/>
                <w:sz w:val="24"/>
                <w:szCs w:val="24"/>
                <w:highlight w:val="none"/>
              </w:rPr>
              <w:t>公开招标</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4、预算金额：</w:t>
            </w:r>
            <w:r>
              <w:rPr>
                <w:rFonts w:hint="eastAsia" w:ascii="Microsoft Yahei Font" w:hAnsi="Microsoft Yahei Font" w:eastAsia="宋体" w:cs="Arial"/>
                <w:color w:val="auto"/>
                <w:sz w:val="24"/>
                <w:szCs w:val="24"/>
                <w:highlight w:val="none"/>
                <w:lang w:val="en-US" w:eastAsia="zh-CN"/>
              </w:rPr>
              <w:t>1990400</w:t>
            </w:r>
            <w:r>
              <w:rPr>
                <w:rFonts w:hint="eastAsia" w:ascii="Microsoft Yahei Font" w:hAnsi="Microsoft Yahei Font" w:eastAsia="宋体" w:cs="Arial"/>
                <w:color w:val="auto"/>
                <w:sz w:val="24"/>
                <w:szCs w:val="24"/>
                <w:highlight w:val="none"/>
                <w:lang w:eastAsia="zh-CN"/>
              </w:rPr>
              <w:t>.00元</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最高限价：</w:t>
            </w:r>
            <w:r>
              <w:rPr>
                <w:rFonts w:hint="eastAsia" w:ascii="Microsoft Yahei Font" w:hAnsi="Microsoft Yahei Font" w:eastAsia="宋体" w:cs="Arial"/>
                <w:color w:val="auto"/>
                <w:sz w:val="24"/>
                <w:szCs w:val="24"/>
                <w:highlight w:val="none"/>
                <w:lang w:val="en-US" w:eastAsia="zh-CN"/>
              </w:rPr>
              <w:t xml:space="preserve">1990400.00元 </w:t>
            </w:r>
          </w:p>
        </w:tc>
      </w:tr>
      <w:tr>
        <w:tblPrEx>
          <w:tblCellMar>
            <w:top w:w="15" w:type="dxa"/>
            <w:left w:w="15" w:type="dxa"/>
            <w:bottom w:w="15" w:type="dxa"/>
            <w:right w:w="15" w:type="dxa"/>
          </w:tblCellMar>
        </w:tblPrEx>
        <w:trPr>
          <w:tblCellSpacing w:w="15" w:type="dxa"/>
        </w:trPr>
        <w:tc>
          <w:tcPr>
            <w:tcW w:w="9668" w:type="dxa"/>
            <w:gridSpan w:val="2"/>
            <w:noWrap w:val="0"/>
            <w:vAlign w:val="center"/>
          </w:tcPr>
          <w:tbl>
            <w:tblPr>
              <w:tblStyle w:val="28"/>
              <w:tblW w:w="4925"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69"/>
              <w:gridCol w:w="3086"/>
              <w:gridCol w:w="2606"/>
              <w:gridCol w:w="1421"/>
              <w:gridCol w:w="18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089" w:hRule="atLeast"/>
                <w:tblCellSpacing w:w="0" w:type="dxa"/>
              </w:trPr>
              <w:tc>
                <w:tcPr>
                  <w:tcW w:w="24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序号</w:t>
                  </w:r>
                </w:p>
              </w:tc>
              <w:tc>
                <w:tcPr>
                  <w:tcW w:w="162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包号</w:t>
                  </w:r>
                </w:p>
              </w:tc>
              <w:tc>
                <w:tcPr>
                  <w:tcW w:w="137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包名称</w:t>
                  </w:r>
                </w:p>
              </w:tc>
              <w:tc>
                <w:tcPr>
                  <w:tcW w:w="74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包预算（元）</w:t>
                  </w:r>
                </w:p>
              </w:tc>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9" w:hRule="atLeast"/>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w:t>
                  </w:r>
                </w:p>
              </w:tc>
              <w:tc>
                <w:tcPr>
                  <w:tcW w:w="162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长交采2022ZB</w:t>
                  </w:r>
                  <w:r>
                    <w:rPr>
                      <w:rFonts w:hint="eastAsia" w:ascii="Microsoft Yahei Font" w:hAnsi="Microsoft Yahei Font" w:eastAsia="宋体" w:cs="Arial"/>
                      <w:color w:val="auto"/>
                      <w:sz w:val="24"/>
                      <w:szCs w:val="24"/>
                      <w:highlight w:val="none"/>
                      <w:lang w:val="en-US" w:eastAsia="zh-CN"/>
                    </w:rPr>
                    <w:t>069</w:t>
                  </w:r>
                  <w:r>
                    <w:rPr>
                      <w:rFonts w:ascii="Microsoft Yahei Font" w:hAnsi="Microsoft Yahei Font" w:eastAsia="宋体" w:cs="Arial"/>
                      <w:color w:val="auto"/>
                      <w:sz w:val="24"/>
                      <w:szCs w:val="24"/>
                      <w:highlight w:val="none"/>
                    </w:rPr>
                    <w:t>号-1</w:t>
                  </w:r>
                </w:p>
              </w:tc>
              <w:tc>
                <w:tcPr>
                  <w:tcW w:w="137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lang w:eastAsia="zh-CN"/>
                    </w:rPr>
                  </w:pPr>
                  <w:r>
                    <w:rPr>
                      <w:rFonts w:hint="eastAsia" w:ascii="Microsoft Yahei Font" w:hAnsi="Microsoft Yahei Font" w:eastAsia="宋体" w:cs="Arial"/>
                      <w:color w:val="auto"/>
                      <w:sz w:val="24"/>
                      <w:szCs w:val="24"/>
                      <w:highlight w:val="none"/>
                      <w:lang w:val="en-US" w:eastAsia="zh-CN"/>
                    </w:rPr>
                    <w:t>A包</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hint="eastAsia" w:ascii="宋体" w:hAnsi="宋体" w:eastAsia="宋体" w:cs="宋体"/>
                      <w:color w:val="auto"/>
                      <w:sz w:val="24"/>
                      <w:szCs w:val="24"/>
                      <w:highlight w:val="none"/>
                      <w:lang w:val="en-US" w:eastAsia="zh-CN"/>
                    </w:rPr>
                    <w:t>1990400.00</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hint="eastAsia" w:ascii="宋体" w:hAnsi="宋体" w:eastAsia="宋体" w:cs="宋体"/>
                      <w:color w:val="auto"/>
                      <w:sz w:val="24"/>
                      <w:szCs w:val="24"/>
                      <w:highlight w:val="none"/>
                      <w:lang w:val="en-US" w:eastAsia="zh-CN"/>
                    </w:rPr>
                    <w:t>1990400.00</w:t>
                  </w:r>
                </w:p>
              </w:tc>
            </w:tr>
          </w:tbl>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5、采购需求（包括但不限于标的的名称、数量、简要技术需求或服务要求等）</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A包</w:t>
            </w:r>
            <w:r>
              <w:rPr>
                <w:rFonts w:hint="eastAsia" w:ascii="宋体" w:hAnsi="宋体" w:eastAsia="宋体" w:cs="宋体"/>
                <w:color w:val="auto"/>
                <w:sz w:val="24"/>
                <w:szCs w:val="24"/>
                <w:highlight w:val="none"/>
                <w:lang w:val="en-US" w:eastAsia="zh-CN"/>
              </w:rPr>
              <w:t>：建工系装饰装修及医疗器械无菌监测实训室；</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6、合同履行期限：</w:t>
            </w:r>
            <w:r>
              <w:rPr>
                <w:rFonts w:hint="eastAsia" w:ascii="宋体" w:hAnsi="宋体" w:eastAsia="宋体" w:cs="宋体"/>
                <w:color w:val="auto"/>
                <w:sz w:val="24"/>
                <w:szCs w:val="24"/>
                <w:highlight w:val="none"/>
              </w:rPr>
              <w:t>签订合</w:t>
            </w:r>
            <w:r>
              <w:rPr>
                <w:rFonts w:hint="eastAsia" w:ascii="Microsoft Yahei Font" w:hAnsi="Microsoft Yahei Font" w:eastAsia="宋体" w:cs="Arial"/>
                <w:color w:val="auto"/>
                <w:sz w:val="24"/>
                <w:szCs w:val="24"/>
                <w:highlight w:val="none"/>
              </w:rPr>
              <w:t>同后</w:t>
            </w:r>
            <w:r>
              <w:rPr>
                <w:rFonts w:hint="eastAsia" w:ascii="Microsoft Yahei Font" w:hAnsi="Microsoft Yahei Font" w:eastAsia="宋体" w:cs="Arial"/>
                <w:color w:val="auto"/>
                <w:sz w:val="24"/>
                <w:szCs w:val="24"/>
                <w:highlight w:val="none"/>
                <w:lang w:val="en-US" w:eastAsia="zh-CN"/>
              </w:rPr>
              <w:t>20</w:t>
            </w:r>
            <w:r>
              <w:rPr>
                <w:rFonts w:hint="eastAsia" w:ascii="Microsoft Yahei Font" w:hAnsi="Microsoft Yahei Font" w:eastAsia="宋体" w:cs="Arial"/>
                <w:color w:val="auto"/>
                <w:sz w:val="24"/>
                <w:szCs w:val="24"/>
                <w:highlight w:val="none"/>
              </w:rPr>
              <w:t>日历天内</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7、本项目是否接受联合体投标：否</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8、是否接受进口产品：否</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二、申请人资格要求：</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1、满足《中华人民共和国政府采购法》第二十二条规定；</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2、落实政府采购政策满足的资格要求：</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1、本项目为非预留份额，根据《政府采购促进中小企业发展管理办法》（财库[2020]46号）规定，支持中小微企业参与；</w:t>
            </w:r>
          </w:p>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2、根据《财政部、司法部关于政府采购支持监狱企业发展有关问题的通知》（财库[2014]68号），支持监狱企业参与；</w:t>
            </w:r>
          </w:p>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3、根据财政部、民政部、中国残疾人联合会三部门发布《关于促进残疾人就业政府采购政策的通知》（财库[2017]141号），支持残疾人福利性单位企业参与；</w:t>
            </w:r>
          </w:p>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hint="eastAsia" w:ascii="Microsoft Yahei Font" w:hAnsi="Microsoft Yahei Font" w:eastAsia="宋体" w:cs="Arial"/>
                <w:color w:val="auto"/>
                <w:sz w:val="24"/>
                <w:szCs w:val="24"/>
                <w:highlight w:val="none"/>
              </w:rPr>
            </w:pPr>
            <w:r>
              <w:rPr>
                <w:rFonts w:hint="eastAsia" w:ascii="宋体" w:hAnsi="宋体" w:eastAsia="宋体" w:cs="宋体"/>
                <w:color w:val="auto"/>
                <w:sz w:val="24"/>
                <w:szCs w:val="24"/>
                <w:highlight w:val="none"/>
                <w:lang w:val="zh-CN"/>
              </w:rPr>
              <w:t>4、根据《财政部、国家发展改革委关于印发〈节能产品政府采购实施意见〉的通知》（财库[2004]185号）、《财政部环保总局关于环境标志产品政府采购实施的意见》（财库[2006]90号）；和财政部、发展改革委、生态环境部、市场监管总局 关于调整优化节能产品、环境标志产品政府采购执行机制的通知【财库〔2019〕9号】</w:t>
            </w:r>
            <w:r>
              <w:rPr>
                <w:rFonts w:hint="eastAsia" w:ascii="Microsoft Yahei Font" w:hAnsi="Microsoft Yahei Font" w:eastAsia="宋体" w:cs="Arial"/>
                <w:color w:val="auto"/>
                <w:sz w:val="24"/>
                <w:szCs w:val="24"/>
                <w:highlight w:val="none"/>
              </w:rPr>
              <w:t>，支持节能环保产品参与；</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3、本项目的特定资格要求</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numPr>
                <w:ilvl w:val="0"/>
                <w:numId w:val="3"/>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具有独立承担民事责任能力；</w:t>
            </w:r>
          </w:p>
          <w:p>
            <w:pPr>
              <w:keepNext w:val="0"/>
              <w:keepLines w:val="0"/>
              <w:pageBreakBefore w:val="0"/>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（2）具有良好的商业信誉和健全的财务会计制度；</w:t>
            </w:r>
          </w:p>
          <w:p>
            <w:pPr>
              <w:keepNext w:val="0"/>
              <w:keepLines w:val="0"/>
              <w:pageBreakBefore w:val="0"/>
              <w:numPr>
                <w:ilvl w:val="0"/>
                <w:numId w:val="0"/>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（3）具有履行合同所必须的设备和专业技术能力；</w:t>
            </w:r>
          </w:p>
          <w:p>
            <w:pPr>
              <w:keepNext w:val="0"/>
              <w:keepLines w:val="0"/>
              <w:pageBreakBefore w:val="0"/>
              <w:numPr>
                <w:ilvl w:val="0"/>
                <w:numId w:val="0"/>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（4）有依法缴纳税收和社会保障资金的能力；</w:t>
            </w:r>
          </w:p>
          <w:p>
            <w:pPr>
              <w:keepNext w:val="0"/>
              <w:keepLines w:val="0"/>
              <w:pageBreakBefore w:val="0"/>
              <w:numPr>
                <w:ilvl w:val="0"/>
                <w:numId w:val="0"/>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（5）参加政府采购活动前三年内，在经营活动中无重大违法记录；</w:t>
            </w:r>
          </w:p>
          <w:p>
            <w:pPr>
              <w:keepNext w:val="0"/>
              <w:keepLines w:val="0"/>
              <w:pageBreakBefore w:val="0"/>
              <w:numPr>
                <w:ilvl w:val="0"/>
                <w:numId w:val="0"/>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eastAsia="zh-CN"/>
              </w:rPr>
              <w:t>（</w:t>
            </w:r>
            <w:r>
              <w:rPr>
                <w:rFonts w:hint="eastAsia" w:ascii="Microsoft Yahei Font" w:hAnsi="Microsoft Yahei Font" w:eastAsia="宋体" w:cs="Arial"/>
                <w:color w:val="auto"/>
                <w:sz w:val="24"/>
                <w:szCs w:val="24"/>
                <w:highlight w:val="none"/>
                <w:lang w:val="en-US" w:eastAsia="zh-CN"/>
              </w:rPr>
              <w:t>6</w:t>
            </w:r>
            <w:r>
              <w:rPr>
                <w:rFonts w:hint="eastAsia" w:ascii="Microsoft Yahei Font" w:hAnsi="Microsoft Yahei Font" w:eastAsia="宋体" w:cs="Arial"/>
                <w:color w:val="auto"/>
                <w:sz w:val="24"/>
                <w:szCs w:val="24"/>
                <w:highlight w:val="none"/>
                <w:lang w:eastAsia="zh-CN"/>
              </w:rPr>
              <w:t>）</w:t>
            </w:r>
            <w:r>
              <w:rPr>
                <w:rFonts w:hint="eastAsia" w:ascii="Microsoft Yahei Font" w:hAnsi="Microsoft Yahei Font" w:eastAsia="宋体" w:cs="Arial"/>
                <w:color w:val="auto"/>
                <w:sz w:val="24"/>
                <w:szCs w:val="24"/>
                <w:highlight w:val="none"/>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或中国政府采购网（www.ccgp.gov.cn）或中国执行信息公开网”网站（zxgk.court.gov.cn）以上任意一个网站】；</w:t>
            </w:r>
          </w:p>
          <w:p>
            <w:pPr>
              <w:keepNext w:val="0"/>
              <w:keepLines w:val="0"/>
              <w:pageBreakBefore w:val="0"/>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w:t>
            </w:r>
            <w:r>
              <w:rPr>
                <w:rFonts w:hint="eastAsia" w:ascii="Microsoft Yahei Font" w:hAnsi="Microsoft Yahei Font" w:eastAsia="宋体" w:cs="Arial"/>
                <w:color w:val="auto"/>
                <w:sz w:val="24"/>
                <w:szCs w:val="24"/>
                <w:highlight w:val="none"/>
                <w:lang w:val="en-US" w:eastAsia="zh-CN"/>
              </w:rPr>
              <w:t>7</w:t>
            </w:r>
            <w:r>
              <w:rPr>
                <w:rFonts w:hint="eastAsia" w:ascii="Microsoft Yahei Font" w:hAnsi="Microsoft Yahei Font" w:eastAsia="宋体" w:cs="Arial"/>
                <w:color w:val="auto"/>
                <w:sz w:val="24"/>
                <w:szCs w:val="24"/>
                <w:highlight w:val="none"/>
              </w:rPr>
              <w:t>）本次招标不接受联合体投标；</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w:t>
            </w:r>
            <w:r>
              <w:rPr>
                <w:rFonts w:hint="eastAsia" w:ascii="Microsoft Yahei Font" w:hAnsi="Microsoft Yahei Font" w:eastAsia="宋体" w:cs="Arial"/>
                <w:color w:val="auto"/>
                <w:sz w:val="24"/>
                <w:szCs w:val="24"/>
                <w:highlight w:val="none"/>
                <w:lang w:val="en-US" w:eastAsia="zh-CN"/>
              </w:rPr>
              <w:t>8</w:t>
            </w:r>
            <w:r>
              <w:rPr>
                <w:rFonts w:hint="eastAsia" w:ascii="Microsoft Yahei Font" w:hAnsi="Microsoft Yahei Font" w:eastAsia="宋体" w:cs="Arial"/>
                <w:color w:val="auto"/>
                <w:sz w:val="24"/>
                <w:szCs w:val="24"/>
                <w:highlight w:val="none"/>
              </w:rPr>
              <w:t>）本次招标采用资格后审。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三、获取</w:t>
            </w:r>
            <w:r>
              <w:rPr>
                <w:rFonts w:hint="eastAsia" w:ascii="Microsoft Yahei Font" w:hAnsi="Microsoft Yahei Font" w:eastAsia="宋体" w:cs="Arial"/>
                <w:color w:val="auto"/>
                <w:sz w:val="24"/>
                <w:szCs w:val="24"/>
                <w:highlight w:val="none"/>
              </w:rPr>
              <w:t>招标文件</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1.时间：2022 年10月21日至 2022 年10月27日，每天上午 08:00 至 12:00，下午 14:30 至 17:30（北京 时间，法定节假日除外。）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2.地点：《全国公共资源交易平台（河南省﹒长垣市）》（http://new.cyxggzy.cn/）登录交易系统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3.方式： 潜 在 供 应 商 需 通 过 长 垣 市 公 共 资 源 交 易 网 新 版 系 统 首 页 （http://new.cyxggzy.cn/）登录交易系统进行采购文件下载。（详见长垣市公共资源交易网下载专区）。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color w:val="auto"/>
                <w:highlight w:val="none"/>
              </w:rPr>
            </w:pPr>
            <w:r>
              <w:rPr>
                <w:rFonts w:hint="eastAsia" w:ascii="Microsoft Yahei Font" w:hAnsi="Microsoft Yahei Font" w:eastAsia="宋体" w:cs="Arial"/>
                <w:color w:val="auto"/>
                <w:sz w:val="24"/>
                <w:szCs w:val="24"/>
                <w:highlight w:val="none"/>
                <w:lang w:val="en-US" w:eastAsia="zh-CN"/>
              </w:rPr>
              <w:t xml:space="preserve">4.售价：0元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四、投标截止时间及地点</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1.时间：202</w:t>
            </w:r>
            <w:r>
              <w:rPr>
                <w:rFonts w:hint="eastAsia" w:ascii="Microsoft Yahei Font" w:hAnsi="Microsoft Yahei Font" w:eastAsia="宋体" w:cs="Arial"/>
                <w:color w:val="auto"/>
                <w:sz w:val="24"/>
                <w:szCs w:val="24"/>
                <w:highlight w:val="none"/>
              </w:rPr>
              <w:t>2</w:t>
            </w:r>
            <w:r>
              <w:rPr>
                <w:rFonts w:ascii="Microsoft Yahei Font" w:hAnsi="Microsoft Yahei Font" w:eastAsia="宋体" w:cs="Arial"/>
                <w:color w:val="auto"/>
                <w:sz w:val="24"/>
                <w:szCs w:val="24"/>
                <w:highlight w:val="none"/>
              </w:rPr>
              <w:t>年</w:t>
            </w:r>
            <w:r>
              <w:rPr>
                <w:rFonts w:hint="eastAsia" w:ascii="Microsoft Yahei Font" w:hAnsi="Microsoft Yahei Font" w:eastAsia="宋体" w:cs="Arial"/>
                <w:color w:val="auto"/>
                <w:sz w:val="24"/>
                <w:szCs w:val="24"/>
                <w:highlight w:val="none"/>
                <w:lang w:val="en-US" w:eastAsia="zh-CN"/>
              </w:rPr>
              <w:t>11</w:t>
            </w:r>
            <w:r>
              <w:rPr>
                <w:rFonts w:ascii="Microsoft Yahei Font" w:hAnsi="Microsoft Yahei Font" w:eastAsia="宋体" w:cs="Arial"/>
                <w:color w:val="auto"/>
                <w:sz w:val="24"/>
                <w:szCs w:val="24"/>
                <w:highlight w:val="none"/>
              </w:rPr>
              <w:t>月</w:t>
            </w:r>
            <w:r>
              <w:rPr>
                <w:rFonts w:hint="eastAsia" w:ascii="Microsoft Yahei Font" w:hAnsi="Microsoft Yahei Font" w:eastAsia="宋体" w:cs="Arial"/>
                <w:color w:val="auto"/>
                <w:sz w:val="24"/>
                <w:szCs w:val="24"/>
                <w:highlight w:val="none"/>
                <w:lang w:val="en-US" w:eastAsia="zh-CN"/>
              </w:rPr>
              <w:t>11</w:t>
            </w:r>
            <w:r>
              <w:rPr>
                <w:rFonts w:ascii="Microsoft Yahei Font" w:hAnsi="Microsoft Yahei Font" w:eastAsia="宋体" w:cs="Arial"/>
                <w:color w:val="auto"/>
                <w:sz w:val="24"/>
                <w:szCs w:val="24"/>
                <w:highlight w:val="none"/>
              </w:rPr>
              <w:t>日</w:t>
            </w:r>
            <w:r>
              <w:rPr>
                <w:rFonts w:hint="eastAsia" w:ascii="Microsoft Yahei Font" w:hAnsi="Microsoft Yahei Font" w:eastAsia="宋体" w:cs="Arial"/>
                <w:color w:val="auto"/>
                <w:sz w:val="24"/>
                <w:szCs w:val="24"/>
                <w:highlight w:val="none"/>
              </w:rPr>
              <w:t>08</w:t>
            </w:r>
            <w:r>
              <w:rPr>
                <w:rFonts w:ascii="Microsoft Yahei Font" w:hAnsi="Microsoft Yahei Font" w:eastAsia="宋体" w:cs="Arial"/>
                <w:color w:val="auto"/>
                <w:sz w:val="24"/>
                <w:szCs w:val="24"/>
                <w:highlight w:val="none"/>
              </w:rPr>
              <w:t>时</w:t>
            </w:r>
            <w:r>
              <w:rPr>
                <w:rFonts w:hint="eastAsia" w:ascii="Microsoft Yahei Font" w:hAnsi="Microsoft Yahei Font" w:eastAsia="宋体" w:cs="Arial"/>
                <w:color w:val="auto"/>
                <w:sz w:val="24"/>
                <w:szCs w:val="24"/>
                <w:highlight w:val="none"/>
              </w:rPr>
              <w:t>3</w:t>
            </w:r>
            <w:r>
              <w:rPr>
                <w:rFonts w:ascii="Microsoft Yahei Font" w:hAnsi="Microsoft Yahei Font" w:eastAsia="宋体" w:cs="Arial"/>
                <w:color w:val="auto"/>
                <w:sz w:val="24"/>
                <w:szCs w:val="24"/>
                <w:highlight w:val="none"/>
              </w:rPr>
              <w:t>0分（北京时间）</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rHeight w:val="825" w:hRule="atLeast"/>
          <w:tblCellSpacing w:w="15" w:type="dxa"/>
        </w:trPr>
        <w:tc>
          <w:tcPr>
            <w:tcW w:w="9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2.地点：</w:t>
            </w:r>
            <w:r>
              <w:rPr>
                <w:rFonts w:hint="eastAsia" w:ascii="Microsoft Yahei Font" w:hAnsi="Microsoft Yahei Font" w:eastAsia="宋体" w:cs="Arial"/>
                <w:color w:val="auto"/>
                <w:sz w:val="24"/>
                <w:szCs w:val="24"/>
                <w:highlight w:val="none"/>
                <w:lang w:val="en-US" w:eastAsia="zh-CN"/>
              </w:rPr>
              <w:t xml:space="preserve">《全国公共资源交易平台（河南省﹒长垣市）》（http://new.cyxggzy.cn/）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五、</w:t>
            </w:r>
            <w:r>
              <w:rPr>
                <w:rFonts w:hint="eastAsia" w:ascii="Microsoft Yahei Font" w:hAnsi="Microsoft Yahei Font" w:eastAsia="宋体" w:cs="Arial"/>
                <w:color w:val="auto"/>
                <w:sz w:val="24"/>
                <w:szCs w:val="24"/>
                <w:highlight w:val="none"/>
              </w:rPr>
              <w:t>开标</w:t>
            </w:r>
            <w:r>
              <w:rPr>
                <w:rFonts w:ascii="Microsoft Yahei Font" w:hAnsi="Microsoft Yahei Font" w:eastAsia="宋体" w:cs="Arial"/>
                <w:color w:val="auto"/>
                <w:sz w:val="24"/>
                <w:szCs w:val="24"/>
                <w:highlight w:val="none"/>
              </w:rPr>
              <w:t>时间及地点</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1.时间：202</w:t>
            </w:r>
            <w:r>
              <w:rPr>
                <w:rFonts w:hint="eastAsia" w:ascii="Microsoft Yahei Font" w:hAnsi="Microsoft Yahei Font" w:eastAsia="宋体" w:cs="Arial"/>
                <w:color w:val="auto"/>
                <w:sz w:val="24"/>
                <w:szCs w:val="24"/>
                <w:highlight w:val="none"/>
              </w:rPr>
              <w:t>2</w:t>
            </w:r>
            <w:r>
              <w:rPr>
                <w:rFonts w:ascii="Microsoft Yahei Font" w:hAnsi="Microsoft Yahei Font" w:eastAsia="宋体" w:cs="Arial"/>
                <w:color w:val="auto"/>
                <w:sz w:val="24"/>
                <w:szCs w:val="24"/>
                <w:highlight w:val="none"/>
              </w:rPr>
              <w:t>年</w:t>
            </w:r>
            <w:r>
              <w:rPr>
                <w:rFonts w:hint="eastAsia" w:ascii="Microsoft Yahei Font" w:hAnsi="Microsoft Yahei Font" w:eastAsia="宋体" w:cs="Arial"/>
                <w:color w:val="auto"/>
                <w:sz w:val="24"/>
                <w:szCs w:val="24"/>
                <w:highlight w:val="none"/>
                <w:lang w:val="en-US" w:eastAsia="zh-CN"/>
              </w:rPr>
              <w:t>11</w:t>
            </w:r>
            <w:r>
              <w:rPr>
                <w:rFonts w:ascii="Microsoft Yahei Font" w:hAnsi="Microsoft Yahei Font" w:eastAsia="宋体" w:cs="Arial"/>
                <w:color w:val="auto"/>
                <w:sz w:val="24"/>
                <w:szCs w:val="24"/>
                <w:highlight w:val="none"/>
              </w:rPr>
              <w:t>月</w:t>
            </w:r>
            <w:r>
              <w:rPr>
                <w:rFonts w:hint="eastAsia" w:ascii="Microsoft Yahei Font" w:hAnsi="Microsoft Yahei Font" w:eastAsia="宋体" w:cs="Arial"/>
                <w:color w:val="auto"/>
                <w:sz w:val="24"/>
                <w:szCs w:val="24"/>
                <w:highlight w:val="none"/>
                <w:lang w:val="en-US" w:eastAsia="zh-CN"/>
              </w:rPr>
              <w:t>11</w:t>
            </w:r>
            <w:r>
              <w:rPr>
                <w:rFonts w:ascii="Microsoft Yahei Font" w:hAnsi="Microsoft Yahei Font" w:eastAsia="宋体" w:cs="Arial"/>
                <w:color w:val="auto"/>
                <w:sz w:val="24"/>
                <w:szCs w:val="24"/>
                <w:highlight w:val="none"/>
              </w:rPr>
              <w:t>日</w:t>
            </w:r>
            <w:r>
              <w:rPr>
                <w:rFonts w:hint="eastAsia" w:ascii="Microsoft Yahei Font" w:hAnsi="Microsoft Yahei Font" w:eastAsia="宋体" w:cs="Arial"/>
                <w:color w:val="auto"/>
                <w:sz w:val="24"/>
                <w:szCs w:val="24"/>
                <w:highlight w:val="none"/>
              </w:rPr>
              <w:t>08</w:t>
            </w:r>
            <w:r>
              <w:rPr>
                <w:rFonts w:ascii="Microsoft Yahei Font" w:hAnsi="Microsoft Yahei Font" w:eastAsia="宋体" w:cs="Arial"/>
                <w:color w:val="auto"/>
                <w:sz w:val="24"/>
                <w:szCs w:val="24"/>
                <w:highlight w:val="none"/>
              </w:rPr>
              <w:t>时</w:t>
            </w:r>
            <w:r>
              <w:rPr>
                <w:rFonts w:hint="eastAsia" w:ascii="Microsoft Yahei Font" w:hAnsi="Microsoft Yahei Font" w:eastAsia="宋体" w:cs="Arial"/>
                <w:color w:val="auto"/>
                <w:sz w:val="24"/>
                <w:szCs w:val="24"/>
                <w:highlight w:val="none"/>
              </w:rPr>
              <w:t>3</w:t>
            </w:r>
            <w:r>
              <w:rPr>
                <w:rFonts w:ascii="Microsoft Yahei Font" w:hAnsi="Microsoft Yahei Font" w:eastAsia="宋体" w:cs="Arial"/>
                <w:color w:val="auto"/>
                <w:sz w:val="24"/>
                <w:szCs w:val="24"/>
                <w:highlight w:val="none"/>
              </w:rPr>
              <w:t>0分（北京时间）</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2.地点：长垣市财审大厦八楼第</w:t>
            </w:r>
            <w:r>
              <w:rPr>
                <w:rFonts w:hint="eastAsia" w:ascii="Microsoft Yahei Font" w:hAnsi="Microsoft Yahei Font" w:eastAsia="宋体" w:cs="Arial"/>
                <w:color w:val="auto"/>
                <w:sz w:val="24"/>
                <w:szCs w:val="24"/>
                <w:highlight w:val="none"/>
                <w:lang w:val="en-US" w:eastAsia="zh-CN"/>
              </w:rPr>
              <w:t>二</w:t>
            </w:r>
            <w:r>
              <w:rPr>
                <w:rFonts w:ascii="Microsoft Yahei Font" w:hAnsi="Microsoft Yahei Font" w:eastAsia="宋体" w:cs="Arial"/>
                <w:color w:val="auto"/>
                <w:sz w:val="24"/>
                <w:szCs w:val="24"/>
                <w:highlight w:val="none"/>
              </w:rPr>
              <w:t>开标室</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六、发布公告的媒介及招标公告期限</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本次</w:t>
            </w:r>
            <w:r>
              <w:rPr>
                <w:rFonts w:hint="eastAsia" w:ascii="Microsoft Yahei Font" w:hAnsi="Microsoft Yahei Font" w:eastAsia="宋体" w:cs="Arial"/>
                <w:color w:val="auto"/>
                <w:sz w:val="24"/>
                <w:szCs w:val="24"/>
                <w:highlight w:val="none"/>
              </w:rPr>
              <w:t>招标</w:t>
            </w:r>
            <w:r>
              <w:rPr>
                <w:rFonts w:ascii="Microsoft Yahei Font" w:hAnsi="Microsoft Yahei Font" w:eastAsia="宋体" w:cs="Arial"/>
                <w:color w:val="auto"/>
                <w:sz w:val="24"/>
                <w:szCs w:val="24"/>
                <w:highlight w:val="none"/>
              </w:rPr>
              <w:t>公告在《河南省政府采购网》</w:t>
            </w:r>
            <w:r>
              <w:rPr>
                <w:rFonts w:hint="eastAsia" w:ascii="Microsoft Yahei Font" w:hAnsi="Microsoft Yahei Font" w:eastAsia="宋体" w:cs="Arial"/>
                <w:color w:val="auto"/>
                <w:sz w:val="24"/>
                <w:szCs w:val="24"/>
                <w:highlight w:val="none"/>
              </w:rPr>
              <w:t>、</w:t>
            </w:r>
            <w:r>
              <w:rPr>
                <w:rFonts w:ascii="Microsoft Yahei Font" w:hAnsi="Microsoft Yahei Font" w:eastAsia="宋体" w:cs="Arial"/>
                <w:color w:val="auto"/>
                <w:sz w:val="24"/>
                <w:szCs w:val="24"/>
                <w:highlight w:val="none"/>
              </w:rPr>
              <w:t>《中国采购与招标网》、《河南省公共资源交易公共服务平台》、《全国公共资源交易平台（河南省·长垣市）》网站上发布，</w:t>
            </w:r>
            <w:r>
              <w:rPr>
                <w:rFonts w:hint="eastAsia" w:ascii="Microsoft Yahei Font" w:hAnsi="Microsoft Yahei Font" w:eastAsia="宋体" w:cs="Arial"/>
                <w:color w:val="auto"/>
                <w:sz w:val="24"/>
                <w:szCs w:val="24"/>
                <w:highlight w:val="none"/>
              </w:rPr>
              <w:t>招标</w:t>
            </w:r>
            <w:r>
              <w:rPr>
                <w:rFonts w:ascii="Microsoft Yahei Font" w:hAnsi="Microsoft Yahei Font" w:eastAsia="宋体" w:cs="Arial"/>
                <w:color w:val="auto"/>
                <w:sz w:val="24"/>
                <w:szCs w:val="24"/>
                <w:highlight w:val="none"/>
              </w:rPr>
              <w:t xml:space="preserve">公告期限为五个工作日 。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七、其他补充事宜</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Microsoft Yahei Font" w:hAnsi="Microsoft Yahei Font" w:eastAsia="宋体" w:cs="Arial"/>
                <w:color w:val="auto"/>
                <w:sz w:val="24"/>
                <w:szCs w:val="24"/>
                <w:highlight w:val="none"/>
                <w:lang w:val="en-US" w:eastAsia="zh-CN"/>
              </w:rPr>
              <w:t xml:space="preserve">1）招标文件获取有时间要求，错过时间后将无法完成操作，一切后果由供应商自负。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2）潜在供应商务必在获取招标文件时间内完成招标文件下载并确保文件下载完整（电子版招标文件及相关附件一并下载），获取时间截止后将无法下载任何招标文件内容，若由此原因影响投标文件制作、投标文件递交、投标文件解密等情况，造成的损失由潜在供应商自行承担。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3）该项目需要使用网上远程不见面系统开标。各供应商根据操作手册要求，提前做好相关准备工作，所有准备工作需自行到位，开标过程中如遇到紧急事项，可在不见面开标大厅中进行提出答疑，严重问题可拨打现场技术支持电话 17337179764/18137798463。各供应商需在首次递交投标文件截止前登录网上不见面系统进行等候签到（递交秘钥）。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不 见 面 开 标 大 厅 地 址（http://new.cyxggzy.cn/20630036/103_module/1001_main/1001_main_index.html?ORGID=410728）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lang w:val="en-US" w:eastAsia="zh-CN"/>
              </w:rPr>
            </w:pPr>
            <w:r>
              <w:rPr>
                <w:rFonts w:hint="eastAsia" w:ascii="Microsoft Yahei Font" w:hAnsi="Microsoft Yahei Font" w:eastAsia="宋体" w:cs="Arial"/>
                <w:color w:val="auto"/>
                <w:sz w:val="24"/>
                <w:szCs w:val="24"/>
                <w:highlight w:val="none"/>
                <w:lang w:val="en-US" w:eastAsia="zh-CN"/>
              </w:rPr>
              <w:t xml:space="preserve">（4）网上不见面开标过程中，如供应商准备不到位，造成签到（递交秘钥）截止时间内无法及时解密、网络问题等情况造成开标无法继续的，视为该供应商自动放弃投标（投标截止时间起 30 分钟内无法确认的），不再执行投标文件解密。(供应商对不见面开标流程技术不熟悉可自行携带电脑到交易中心开标室操作)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5）本项目实行资格后审，营业执照、资质、业绩、人员、财务、证书等内容，须在市场主体信息库中已登记的信息中选取。审查内容以投标截止前填报上传企业诚信库信息为准，过期更改的诚信库信息不作为本项目评审依据。开评标现场不接受诚信库信息原件。诚信库上传信息必须内容齐全，真实有效，原件扫描件清晰可辨。否则评标委员会根据供应商的投标文件予以审验，该供应商不得事后对评审结果提出任何异议，由此造成应得分而未得分或资格审查不合格等情况的，由供应商自行承担责任。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八、凡对本次招标提出询问，请按照以下方式联系</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 采购人信息</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名称：</w:t>
            </w:r>
            <w:r>
              <w:rPr>
                <w:rFonts w:hint="eastAsia" w:ascii="Microsoft Yahei Font" w:hAnsi="Microsoft Yahei Font" w:eastAsia="宋体" w:cs="Arial"/>
                <w:color w:val="auto"/>
                <w:sz w:val="24"/>
                <w:szCs w:val="24"/>
                <w:highlight w:val="none"/>
                <w:lang w:val="zh-CN"/>
              </w:rPr>
              <w:t>长垣技师学院（长垣职业中等专业学校）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地址：</w:t>
            </w:r>
            <w:r>
              <w:rPr>
                <w:rFonts w:hint="eastAsia" w:ascii="Microsoft Yahei Font" w:hAnsi="Microsoft Yahei Font" w:eastAsia="宋体" w:cs="Arial"/>
                <w:color w:val="auto"/>
                <w:sz w:val="24"/>
                <w:szCs w:val="24"/>
                <w:highlight w:val="none"/>
                <w:lang w:val="zh-CN"/>
              </w:rPr>
              <w:t>长垣市南蒲街道宏力大道与阳泽路交叉口向东200米路北</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联系人：</w:t>
            </w:r>
            <w:r>
              <w:rPr>
                <w:rFonts w:hint="eastAsia" w:ascii="Microsoft Yahei Font" w:hAnsi="Microsoft Yahei Font" w:eastAsia="宋体" w:cs="Arial"/>
                <w:color w:val="auto"/>
                <w:sz w:val="24"/>
                <w:szCs w:val="24"/>
                <w:highlight w:val="none"/>
                <w:lang w:eastAsia="zh-CN"/>
              </w:rPr>
              <w:t>薛女士</w:t>
            </w:r>
            <w:r>
              <w:rPr>
                <w:rFonts w:hint="eastAsia" w:ascii="Microsoft Yahei Font" w:hAnsi="Microsoft Yahei Font" w:eastAsia="宋体" w:cs="Arial"/>
                <w:color w:val="auto"/>
                <w:sz w:val="24"/>
                <w:szCs w:val="24"/>
                <w:highlight w:val="none"/>
              </w:rPr>
              <w:t xml:space="preserve">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Microsoft Yahei Font" w:hAnsi="Microsoft Yahei Font" w:eastAsia="宋体" w:cs="Arial"/>
                <w:color w:val="auto"/>
                <w:sz w:val="24"/>
                <w:szCs w:val="24"/>
                <w:highlight w:val="none"/>
                <w:lang w:val="en-US" w:eastAsia="zh-CN"/>
              </w:rPr>
            </w:pPr>
            <w:r>
              <w:rPr>
                <w:rFonts w:ascii="Microsoft Yahei Font" w:hAnsi="Microsoft Yahei Font" w:eastAsia="宋体" w:cs="Arial"/>
                <w:color w:val="auto"/>
                <w:sz w:val="24"/>
                <w:szCs w:val="24"/>
                <w:highlight w:val="none"/>
              </w:rPr>
              <w:t>联系方式：</w:t>
            </w:r>
            <w:r>
              <w:rPr>
                <w:rFonts w:hint="eastAsia" w:ascii="Microsoft Yahei Font" w:hAnsi="Microsoft Yahei Font" w:eastAsia="宋体" w:cs="Arial"/>
                <w:color w:val="auto"/>
                <w:sz w:val="24"/>
                <w:szCs w:val="24"/>
                <w:highlight w:val="none"/>
                <w:lang w:val="zh-CN"/>
              </w:rPr>
              <w:t>0373-21572</w:t>
            </w:r>
            <w:r>
              <w:rPr>
                <w:rFonts w:hint="eastAsia" w:ascii="Microsoft Yahei Font" w:hAnsi="Microsoft Yahei Font" w:eastAsia="宋体" w:cs="Arial"/>
                <w:color w:val="auto"/>
                <w:sz w:val="24"/>
                <w:szCs w:val="24"/>
                <w:highlight w:val="none"/>
                <w:lang w:val="en-US" w:eastAsia="zh-CN"/>
              </w:rPr>
              <w:t>60</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2.采购代理机构信息（如有）</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名称：河南省新源建设工程管理有限公司</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地址：长垣市蒲西区人民路80号</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联系人：石女士</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联系方式：0373-8886911 15560227610</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3.项目联系方式</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项目联系人：新源公司</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联系方式：0373-8886911</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bl>
    <w:p>
      <w:pPr>
        <w:widowControl/>
        <w:spacing w:line="432" w:lineRule="auto"/>
        <w:jc w:val="right"/>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zh-CN"/>
        </w:rPr>
        <w:t>长垣技师学院（长垣职业中等专业学校）</w:t>
      </w:r>
    </w:p>
    <w:p>
      <w:pPr>
        <w:widowControl/>
        <w:spacing w:line="432" w:lineRule="auto"/>
        <w:jc w:val="right"/>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 xml:space="preserve">                              河南省新源建设工程管理有限公司</w:t>
      </w:r>
    </w:p>
    <w:p>
      <w:pPr>
        <w:jc w:val="right"/>
        <w:rPr>
          <w:color w:val="auto"/>
          <w:highlight w:val="none"/>
        </w:rPr>
      </w:pPr>
      <w:r>
        <w:rPr>
          <w:rFonts w:hint="eastAsia" w:ascii="Microsoft Yahei Font" w:hAnsi="Microsoft Yahei Font" w:eastAsia="宋体" w:cs="Arial"/>
          <w:color w:val="auto"/>
          <w:sz w:val="24"/>
          <w:szCs w:val="24"/>
          <w:highlight w:val="none"/>
        </w:rPr>
        <w:t xml:space="preserve">                            2022年</w:t>
      </w:r>
      <w:r>
        <w:rPr>
          <w:rFonts w:hint="eastAsia" w:ascii="Microsoft Yahei Font" w:hAnsi="Microsoft Yahei Font" w:eastAsia="宋体" w:cs="Arial"/>
          <w:color w:val="auto"/>
          <w:sz w:val="24"/>
          <w:szCs w:val="24"/>
          <w:highlight w:val="none"/>
          <w:lang w:val="en-US" w:eastAsia="zh-CN"/>
        </w:rPr>
        <w:t>10</w:t>
      </w:r>
      <w:r>
        <w:rPr>
          <w:rFonts w:hint="eastAsia" w:ascii="Microsoft Yahei Font" w:hAnsi="Microsoft Yahei Font" w:eastAsia="宋体" w:cs="Arial"/>
          <w:color w:val="auto"/>
          <w:sz w:val="24"/>
          <w:szCs w:val="24"/>
          <w:highlight w:val="none"/>
        </w:rPr>
        <w:t>月</w:t>
      </w:r>
      <w:r>
        <w:rPr>
          <w:rFonts w:hint="eastAsia" w:ascii="Microsoft Yahei Font" w:hAnsi="Microsoft Yahei Font" w:eastAsia="宋体" w:cs="Arial"/>
          <w:color w:val="auto"/>
          <w:sz w:val="24"/>
          <w:szCs w:val="24"/>
          <w:highlight w:val="none"/>
          <w:lang w:val="en-US" w:eastAsia="zh-CN"/>
        </w:rPr>
        <w:t>20</w:t>
      </w:r>
      <w:r>
        <w:rPr>
          <w:rFonts w:hint="eastAsia" w:ascii="Microsoft Yahei Font" w:hAnsi="Microsoft Yahei Font" w:eastAsia="宋体" w:cs="Arial"/>
          <w:color w:val="auto"/>
          <w:sz w:val="24"/>
          <w:szCs w:val="24"/>
          <w:highlight w:val="none"/>
        </w:rPr>
        <w:t>日</w:t>
      </w:r>
    </w:p>
    <w:p>
      <w:pPr>
        <w:pStyle w:val="24"/>
        <w:widowControl/>
        <w:shd w:val="clear" w:color="auto" w:fill="FFFFFF"/>
        <w:spacing w:beforeAutospacing="0" w:afterAutospacing="0" w:line="480" w:lineRule="exact"/>
        <w:ind w:firstLine="482"/>
        <w:rPr>
          <w:rFonts w:ascii="宋体" w:hAnsi="宋体" w:eastAsia="宋体" w:cs="宋体"/>
          <w:color w:val="auto"/>
          <w:szCs w:val="24"/>
          <w:highlight w:val="none"/>
        </w:rPr>
      </w:pPr>
    </w:p>
    <w:p>
      <w:pPr>
        <w:widowControl/>
        <w:wordWrap w:val="0"/>
        <w:snapToGrid w:val="0"/>
        <w:spacing w:line="500" w:lineRule="exact"/>
        <w:ind w:firstLine="2640" w:firstLineChars="11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spacing w:after="156" w:line="500" w:lineRule="exact"/>
        <w:ind w:firstLine="720" w:firstLineChars="200"/>
        <w:jc w:val="center"/>
        <w:outlineLvl w:val="0"/>
        <w:rPr>
          <w:rFonts w:ascii="宋体" w:hAnsi="宋体" w:eastAsia="宋体" w:cs="宋体"/>
          <w:b/>
          <w:bCs/>
          <w:color w:val="auto"/>
          <w:sz w:val="36"/>
          <w:szCs w:val="36"/>
          <w:highlight w:val="none"/>
        </w:rPr>
      </w:pPr>
      <w:bookmarkStart w:id="6" w:name="_Toc5455"/>
      <w:bookmarkStart w:id="7" w:name="_Toc10513"/>
      <w:bookmarkStart w:id="8" w:name="_Toc3999"/>
      <w:bookmarkStart w:id="9" w:name="_Toc28624"/>
      <w:bookmarkStart w:id="10" w:name="_Toc24802"/>
      <w:bookmarkStart w:id="11" w:name="_Toc72253188"/>
      <w:r>
        <w:rPr>
          <w:rFonts w:hint="eastAsia" w:ascii="宋体" w:hAnsi="宋体" w:eastAsia="宋体" w:cs="宋体"/>
          <w:b/>
          <w:bCs/>
          <w:color w:val="auto"/>
          <w:sz w:val="36"/>
          <w:szCs w:val="36"/>
          <w:highlight w:val="none"/>
          <w:lang w:val="zh-CN"/>
        </w:rPr>
        <w:t>第二章 供应商须知前附表</w:t>
      </w:r>
      <w:bookmarkEnd w:id="6"/>
      <w:bookmarkEnd w:id="7"/>
      <w:bookmarkEnd w:id="8"/>
      <w:bookmarkEnd w:id="9"/>
      <w:bookmarkEnd w:id="10"/>
      <w:bookmarkEnd w:id="11"/>
    </w:p>
    <w:tbl>
      <w:tblPr>
        <w:tblStyle w:val="28"/>
        <w:tblW w:w="10000" w:type="dxa"/>
        <w:tblInd w:w="-4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3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       容      规      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项目说明</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rPr>
              <w:t>长垣技师学院（长垣职业中等专业学校）</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采购代理机构：河南省新源建设工程管理有限公司</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采购代理机构联系电话：0373-8886911</w:t>
            </w:r>
          </w:p>
          <w:p>
            <w:pPr>
              <w:widowControl/>
              <w:snapToGrid w:val="0"/>
              <w:spacing w:line="44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长垣技师学院(长垣职业中等学校)实训室建设项目</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采购项目编号：长财招标采购-2022-</w:t>
            </w:r>
            <w:r>
              <w:rPr>
                <w:rFonts w:hint="eastAsia" w:ascii="宋体" w:hAnsi="宋体" w:eastAsia="宋体" w:cs="宋体"/>
                <w:color w:val="auto"/>
                <w:sz w:val="24"/>
                <w:szCs w:val="24"/>
                <w:highlight w:val="none"/>
                <w:lang w:val="en-US" w:eastAsia="zh-CN"/>
              </w:rPr>
              <w:t xml:space="preserve">158  </w:t>
            </w:r>
            <w:r>
              <w:rPr>
                <w:rFonts w:hint="eastAsia" w:ascii="宋体" w:hAnsi="宋体" w:eastAsia="宋体" w:cs="宋体"/>
                <w:color w:val="auto"/>
                <w:sz w:val="24"/>
                <w:szCs w:val="24"/>
                <w:highlight w:val="none"/>
              </w:rPr>
              <w:t xml:space="preserve">    </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项目交易编号：长交采2022ZB</w:t>
            </w:r>
            <w:r>
              <w:rPr>
                <w:rFonts w:hint="eastAsia" w:ascii="宋体" w:hAnsi="宋体" w:eastAsia="宋体" w:cs="宋体"/>
                <w:color w:val="auto"/>
                <w:sz w:val="24"/>
                <w:szCs w:val="24"/>
                <w:highlight w:val="none"/>
                <w:lang w:val="en-US" w:eastAsia="zh-CN"/>
              </w:rPr>
              <w:t>069</w:t>
            </w:r>
            <w:r>
              <w:rPr>
                <w:rFonts w:hint="eastAsia" w:ascii="宋体" w:hAnsi="宋体" w:eastAsia="宋体" w:cs="宋体"/>
                <w:color w:val="auto"/>
                <w:sz w:val="24"/>
                <w:szCs w:val="24"/>
                <w:highlight w:val="none"/>
              </w:rPr>
              <w:t>号</w:t>
            </w:r>
          </w:p>
          <w:p>
            <w:pPr>
              <w:shd w:val="clear" w:color="000000" w:fill="auto"/>
              <w:spacing w:line="4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项目内容：</w:t>
            </w:r>
            <w:r>
              <w:rPr>
                <w:rFonts w:hint="eastAsia" w:ascii="宋体" w:hAnsi="宋体" w:eastAsia="宋体" w:cs="宋体"/>
                <w:color w:val="auto"/>
                <w:sz w:val="24"/>
                <w:szCs w:val="24"/>
                <w:highlight w:val="none"/>
                <w:lang w:val="en-US" w:eastAsia="zh-CN"/>
              </w:rPr>
              <w:t>A包：建工系装饰装修及医疗器械无菌监测实训室；</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免费质保期：验收合格之日起1年</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交货期：签订合同后</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日历天内完成供货、安装、调试工作。</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p>
            <w:pPr>
              <w:widowControl/>
              <w:snapToGrid w:val="0"/>
              <w:spacing w:line="440" w:lineRule="atLeast"/>
              <w:jc w:val="left"/>
              <w:rPr>
                <w:rFonts w:eastAsia="宋体"/>
                <w:color w:val="auto"/>
                <w:highlight w:val="none"/>
              </w:rPr>
            </w:pPr>
            <w:r>
              <w:rPr>
                <w:rFonts w:hint="eastAsia" w:ascii="宋体" w:hAnsi="宋体" w:eastAsia="宋体" w:cs="宋体"/>
                <w:color w:val="auto"/>
                <w:sz w:val="24"/>
                <w:szCs w:val="24"/>
                <w:highlight w:val="none"/>
              </w:rPr>
              <w:t>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合格供应商应具备的条件：见投标邀请</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投标报价：总报价包含货物费用及项目实施过程中所发生的技术培训、安装、调试、装卸、仓储、分装、运输、劳务、管理等运杂费和税金、保险、协调、售后服务、报装和验收等所有的不定因素的风险等费用。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投标有效期：自投标文件递交截止之日起60日历天。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从中小企业采购货物可能影响功能实现，故本项目不专门面向中小企业采购。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评标委员会成员：五人单数组成（采购人代表占1人，随机抽取的评审专家4人），评审专家从省财政厅专家库中随机抽取。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620"/>
              </w:tabs>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采购代理服务费：中标单位在领取中标通知书前参照计价格[2002]1980号、发改办价格[2003]857号、发改价格[2011]534号文规定向采购代理机构缴纳采购代理服务费。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325" w:type="dxa"/>
            <w:tcBorders>
              <w:top w:val="single" w:color="auto" w:sz="4" w:space="0"/>
              <w:left w:val="single" w:color="auto" w:sz="4" w:space="0"/>
              <w:bottom w:val="single" w:color="auto" w:sz="4" w:space="0"/>
              <w:right w:val="single" w:color="auto" w:sz="4" w:space="0"/>
            </w:tcBorders>
            <w:vAlign w:val="center"/>
          </w:tcPr>
          <w:p>
            <w:pPr>
              <w:widowControl/>
              <w:tabs>
                <w:tab w:val="left" w:pos="1620"/>
              </w:tabs>
              <w:snapToGrid w:val="0"/>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加密上传要求</w:t>
            </w:r>
            <w:r>
              <w:rPr>
                <w:rFonts w:hint="eastAsia" w:ascii="宋体" w:hAnsi="宋体" w:eastAsia="宋体" w:cs="宋体"/>
                <w:color w:val="auto"/>
                <w:sz w:val="24"/>
                <w:szCs w:val="24"/>
                <w:highlight w:val="none"/>
              </w:rPr>
              <w:t>：</w:t>
            </w:r>
          </w:p>
          <w:p>
            <w:pPr>
              <w:widowControl/>
              <w:tabs>
                <w:tab w:val="left" w:pos="1620"/>
              </w:tabs>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通过《公共资源交易平台投标文件制作系统》生成为加密的.tbdat 格式电子版投标文件，并在规定时间前上传。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3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投标文件递交截止及开始时间：见投标邀请</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投标文件递交地点：见投标邀请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3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应在规定的投标截止时间前完成投标文件的递交。电子版投标文件（格式为:.tbdat），供应商上传时必须得到系统“上传成功”的确认回复，并认真检查电子版投标文件是否完整、正确。未在投标截止时间前完成上传或送达的，视为逾期送达。逾期上传的投标文件，采购人将不予受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授权函：</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采购单位委派代表参加资格审查和评审委员会的，须向采购代理机构出具授权函。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电子化采购模式：</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☑是。供应商投标时须提供加密电子投标文件。</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投标文件递交地点：</w:t>
            </w: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《全国公共资源交易平台（河南省﹒长垣市）》（</w:t>
            </w:r>
            <w:r>
              <w:rPr>
                <w:rFonts w:hint="eastAsia" w:ascii="Microsoft Yahei Font" w:hAnsi="Microsoft Yahei Font" w:eastAsia="宋体" w:cs="Arial"/>
                <w:color w:val="auto"/>
                <w:sz w:val="24"/>
                <w:szCs w:val="24"/>
                <w:highlight w:val="none"/>
                <w:lang w:val="en-US" w:eastAsia="zh-CN"/>
              </w:rPr>
              <w:t>http://new.cyxggzy.cn/</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开标时间和地点：</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开标时间：同投标截止时间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开标地点：网上不见面开标大厅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电子版投标文件必须凭制作投标文件所用的 CA 密匙在开始解密后 30 分钟内完成解密。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7"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19</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在线开标程序： </w:t>
            </w: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供应商解密：供应商制作电子版投标文件时，必须使用本单位企业数字证书进行加密，供应商在开标前须自行检查数字证书有效性。供应商应当在招标文件确定的投标截止时间前，登录远程开标大厅，在线准时参加开标活动并进行文件解密、答疑澄清等。开标解密时未在规定时间 30分钟内进行解密成功的视为撤销其投标文件。 </w:t>
            </w: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（2）唱标。 </w:t>
            </w: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（3）监督代表等相关人员在开标记录表上签字确认。 </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（4）宣布开标结束。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采购人邀请所有供应商的法定代表人或其委托代理人参加开标会。供应商的法定代表人或其委托代理人应当按时登录网上不见面开标大厅参加开标会。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1、本项目实行资格后审，营业执照、资质、业绩、人员、财务、证书等内容，须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在市场主体信息库中已登记的信息中选取。审查内容以投标截止前填报上传企业诚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信库信息为准，过期更改的诚信库信息不作为本项目评审依据。开评标现场不接受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诚信库信息原件。诚信库上传信息必须内容齐全，真实有效，原件扫描件清晰可辨。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否则评标委员会根据供应商的投标文件予以审验，该供应商不得事后对评审结果提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出任何异议，由此造成应得分而未得分或资格审查不合格等情况的，由供应商自行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承担责任。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2、开标时供应商需自行配置电脑上网环境，准备好企业 CA 进行签到解密。因供应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商原因导致的未能在规定的时间内签到解密的，造成的损失由供应商自负。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3、投标文件递交、解密完成后，供应商需登录会员系统，评审结束前保持在线状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态，确保可以及时接收评标委员会提出的质询等要求。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9325" w:type="dxa"/>
            <w:tcBorders>
              <w:top w:val="single" w:color="auto" w:sz="4" w:space="0"/>
              <w:left w:val="single" w:color="auto" w:sz="4" w:space="0"/>
              <w:bottom w:val="single" w:color="auto" w:sz="4" w:space="0"/>
              <w:right w:val="single" w:color="auto" w:sz="4" w:space="0"/>
            </w:tcBorders>
            <w:vAlign w:val="center"/>
          </w:tcPr>
          <w:p>
            <w:pPr>
              <w:pStyle w:val="24"/>
              <w:spacing w:beforeAutospacing="0" w:afterAutospacing="0" w:line="440" w:lineRule="exact"/>
              <w:jc w:val="both"/>
              <w:rPr>
                <w:rFonts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政府采购政策：</w:t>
            </w:r>
          </w:p>
          <w:p>
            <w:pPr>
              <w:pStyle w:val="24"/>
              <w:spacing w:beforeAutospacing="0" w:afterAutospacing="0" w:line="440" w:lineRule="exact"/>
              <w:ind w:firstLine="480" w:firstLineChars="200"/>
              <w:jc w:val="both"/>
              <w:rPr>
                <w:rFonts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一、支持中小微企业发展</w:t>
            </w:r>
          </w:p>
          <w:p>
            <w:pPr>
              <w:pStyle w:val="24"/>
              <w:topLinePunct/>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按照财政部、工业和信息化部发布的《政府采购促进中小企业发展管理办法》（财库[2020]46号）规定，本项目为非专门面向中小企业采购的项目，对小型和微型企业供应商产品的价格给予10%的扣除，用扣除后的价格参与评审。</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2、如果本项目为非专门面向中小企业采购且接受联合体投标，联合协议中约定小型或微型企业的协议合同金额占到联合体协议合同总金额30%以上的，给予联合体4%-6%的价格扣除，用扣除后的价格参与评审。</w:t>
            </w:r>
          </w:p>
          <w:p>
            <w:pPr>
              <w:pStyle w:val="24"/>
              <w:topLinePunct/>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3、联合体各方均为小型或微型企业的，联合体视同为小型、微型企业。组成联合体或者接受分包合同的中小企业与联合体内其他企业、分包企业之间不得存在直接控股、管理关系。</w:t>
            </w:r>
          </w:p>
          <w:p>
            <w:pPr>
              <w:pStyle w:val="24"/>
              <w:topLinePunct/>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4、中小企业投标应提供《中小企业声明函》，如为联合投标的，联合体各方需分别填写《中小企业声明函》。</w:t>
            </w:r>
          </w:p>
          <w:p>
            <w:pPr>
              <w:autoSpaceDE w:val="0"/>
              <w:autoSpaceDN w:val="0"/>
              <w:adjustRightInd w:val="0"/>
              <w:spacing w:line="360" w:lineRule="auto"/>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5、根据《政府采购促进中小企业发展管理办法》第十三条 中标、成交供应商享受本办法规定的中小企业扶持政策的，采购人、采购代理机构应当随中标、成交结果公开中标、成交供应商的《中小企业声明函》。</w:t>
            </w:r>
          </w:p>
          <w:p>
            <w:pPr>
              <w:pStyle w:val="24"/>
              <w:topLinePunct/>
              <w:spacing w:beforeAutospacing="0" w:afterAutospacing="0" w:line="440" w:lineRule="exact"/>
              <w:ind w:firstLine="480" w:firstLineChars="200"/>
              <w:jc w:val="both"/>
              <w:rPr>
                <w:rFonts w:hint="eastAsia" w:ascii="宋体" w:hAnsi="宋体" w:eastAsia="宋体" w:cs="宋体"/>
                <w:color w:val="auto"/>
                <w:kern w:val="2"/>
                <w:szCs w:val="24"/>
                <w:highlight w:val="none"/>
              </w:rPr>
            </w:pP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Cs w:val="24"/>
                <w:highlight w:val="none"/>
              </w:rPr>
              <w:t>、供应商对所声明内容的真实性负责，代理机构有权将相关内容进行公示，因弄虚作假导致的后果按相关规定追究法律责任。</w:t>
            </w:r>
          </w:p>
          <w:p>
            <w:pPr>
              <w:pStyle w:val="24"/>
              <w:topLinePunct/>
              <w:spacing w:beforeAutospacing="0" w:afterAutospacing="0" w:line="440" w:lineRule="exact"/>
              <w:ind w:firstLine="480" w:firstLineChars="200"/>
              <w:jc w:val="both"/>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注：本项目属于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4"/>
              <w:topLinePunct/>
              <w:spacing w:beforeAutospacing="0" w:afterAutospacing="0" w:line="440" w:lineRule="exact"/>
              <w:ind w:firstLine="480" w:firstLineChars="200"/>
              <w:jc w:val="both"/>
              <w:rPr>
                <w:rFonts w:hint="eastAsia"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二、支持监狱企业发展</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24"/>
              <w:spacing w:beforeAutospacing="0" w:afterAutospacing="0" w:line="440" w:lineRule="exact"/>
              <w:ind w:firstLine="480" w:firstLineChars="200"/>
              <w:jc w:val="both"/>
              <w:rPr>
                <w:rFonts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三、支持残疾人就业</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3、中标供应商为残疾人福利性单位的，采购人应当随中标结果同时公告其《残疾人福利性单位声明函》，接受社会监督。</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4、供应商对所声明内容的真实性负责，代理机构有权将相关内容进行公示，因弄虚作假导致的后果按相关规定追究法律责任。</w:t>
            </w:r>
          </w:p>
          <w:p>
            <w:pPr>
              <w:pStyle w:val="24"/>
              <w:spacing w:beforeAutospacing="0" w:afterAutospacing="0" w:line="440" w:lineRule="exact"/>
              <w:ind w:firstLine="480" w:firstLineChars="200"/>
              <w:jc w:val="both"/>
              <w:rPr>
                <w:rFonts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四、节能环保政策</w:t>
            </w:r>
          </w:p>
          <w:p>
            <w:pPr>
              <w:pStyle w:val="14"/>
              <w:spacing w:line="440" w:lineRule="atLeast"/>
              <w:ind w:firstLine="480" w:firstLineChars="200"/>
              <w:contextualSpacing/>
              <w:rPr>
                <w:color w:val="auto"/>
                <w:szCs w:val="24"/>
                <w:highlight w:val="none"/>
              </w:rPr>
            </w:pPr>
            <w:r>
              <w:rPr>
                <w:rFonts w:hint="eastAsia" w:cs="宋体"/>
                <w:color w:val="auto"/>
                <w:kern w:val="2"/>
                <w:sz w:val="24"/>
                <w:szCs w:val="24"/>
                <w:highlight w:val="none"/>
              </w:rPr>
              <w:t>《财政部、国家发展改革委关于印发〈节能产品政府采购实施意见〉的通知》（财库[2004]185号）、《财政部环保总局关于环境标志产品政府采购实施的意见》（财库[2006]90号）；和财政部、发展改革委、生态环境部、市场监管总局 关于调整优化节能产品、环境标志产品政府采购执行机制的通知【财库〔2019〕9号】。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9325" w:type="dxa"/>
            <w:tcBorders>
              <w:top w:val="single" w:color="auto" w:sz="4" w:space="0"/>
              <w:left w:val="single" w:color="auto" w:sz="4" w:space="0"/>
              <w:bottom w:val="single" w:color="auto" w:sz="4" w:space="0"/>
              <w:right w:val="single" w:color="auto" w:sz="4" w:space="0"/>
            </w:tcBorders>
            <w:vAlign w:val="center"/>
          </w:tcPr>
          <w:p>
            <w:pPr>
              <w:pStyle w:val="51"/>
              <w:spacing w:line="440" w:lineRule="atLeast"/>
              <w:ind w:left="0"/>
              <w:jc w:val="left"/>
              <w:rPr>
                <w:b w:val="0"/>
                <w:bCs/>
                <w:color w:val="auto"/>
                <w:szCs w:val="24"/>
                <w:highlight w:val="none"/>
              </w:rPr>
            </w:pPr>
            <w:r>
              <w:rPr>
                <w:rFonts w:hint="eastAsia"/>
                <w:b w:val="0"/>
                <w:bCs/>
                <w:color w:val="auto"/>
                <w:szCs w:val="24"/>
                <w:highlight w:val="none"/>
              </w:rPr>
              <w:t>现场勘察：供应商自行对服务现场和周围环境进行勘察，以获取有关编制投标文件和签署合同所涉及现场的资料。采购人向供应商提供有关服务现场的资料和数据，是采购人现有能使供应商利用的资料，采购人对供应商由此做出的推论、理解和结论概不负责，供应商因自身原因未到服务现场实地踏勘的，中标后签订合同时和履约过程中，不得以不完全了解现场情况为由，提出任何形式的增加合同外造价或索赔的要求。供应商不得因勘察现场而使采购人承担有关的责任和蒙受损失，供应商应承担勘察现场的责任和风险。供应商承担勘察现场所发生的自身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9325" w:type="dxa"/>
            <w:tcBorders>
              <w:top w:val="single" w:color="auto" w:sz="4" w:space="0"/>
              <w:left w:val="single" w:color="auto" w:sz="4" w:space="0"/>
              <w:bottom w:val="single" w:color="auto" w:sz="4" w:space="0"/>
              <w:right w:val="single" w:color="auto" w:sz="4" w:space="0"/>
            </w:tcBorders>
            <w:vAlign w:val="center"/>
          </w:tcPr>
          <w:p>
            <w:pPr>
              <w:pStyle w:val="51"/>
              <w:spacing w:line="440" w:lineRule="atLeast"/>
              <w:ind w:left="0"/>
              <w:jc w:val="left"/>
              <w:rPr>
                <w:b w:val="0"/>
                <w:bCs/>
                <w:color w:val="auto"/>
                <w:highlight w:val="none"/>
              </w:rPr>
            </w:pPr>
            <w:r>
              <w:rPr>
                <w:rFonts w:hint="eastAsia"/>
                <w:b w:val="0"/>
                <w:bCs/>
                <w:color w:val="auto"/>
                <w:szCs w:val="24"/>
                <w:highlight w:val="none"/>
              </w:rPr>
              <w:t>其他说明：</w:t>
            </w:r>
            <w:r>
              <w:rPr>
                <w:rFonts w:hint="eastAsia"/>
                <w:b w:val="0"/>
                <w:bCs/>
                <w:color w:val="auto"/>
                <w:highlight w:val="none"/>
              </w:rPr>
              <w:t>供应商</w:t>
            </w:r>
            <w:r>
              <w:rPr>
                <w:b w:val="0"/>
                <w:bCs/>
                <w:color w:val="auto"/>
                <w:highlight w:val="none"/>
              </w:rPr>
              <w:t>必须承担安装调试和提供设备使用说明书等其他类似的义务。</w:t>
            </w:r>
          </w:p>
          <w:p>
            <w:pPr>
              <w:pStyle w:val="51"/>
              <w:spacing w:line="440" w:lineRule="atLeast"/>
              <w:ind w:left="0"/>
              <w:jc w:val="left"/>
              <w:rPr>
                <w:rFonts w:asciiTheme="minorEastAsia" w:hAnsiTheme="minorEastAsia" w:eastAsiaTheme="minorEastAsia" w:cstheme="minorEastAsia"/>
                <w:bCs/>
                <w:color w:val="auto"/>
                <w:kern w:val="2"/>
                <w:szCs w:val="28"/>
                <w:highlight w:val="none"/>
              </w:rPr>
            </w:pPr>
            <w:r>
              <w:rPr>
                <w:rFonts w:hint="eastAsia" w:asciiTheme="minorEastAsia" w:hAnsiTheme="minorEastAsia" w:eastAsiaTheme="minorEastAsia" w:cstheme="minorEastAsia"/>
                <w:bCs/>
                <w:color w:val="auto"/>
                <w:kern w:val="2"/>
                <w:szCs w:val="28"/>
                <w:highlight w:val="none"/>
              </w:rPr>
              <w:t>供应商在中标后可以持政府采购合同向融资机构申请贷款，在河南省政府采购网“河南省政府采购合同融资平台”获取融资渠道和方式（详见附件）。</w:t>
            </w:r>
          </w:p>
        </w:tc>
      </w:tr>
    </w:tbl>
    <w:p>
      <w:pPr>
        <w:rPr>
          <w:rFonts w:ascii="宋体" w:hAnsi="宋体" w:eastAsia="宋体" w:cs="宋体"/>
          <w:b/>
          <w:bCs/>
          <w:color w:val="auto"/>
          <w:sz w:val="44"/>
          <w:szCs w:val="44"/>
          <w:highlight w:val="none"/>
          <w:lang w:val="zh-CN"/>
        </w:rPr>
      </w:pPr>
    </w:p>
    <w:p>
      <w:pPr>
        <w:widowControl/>
        <w:shd w:val="clear" w:color="auto" w:fill="F9F9F9"/>
        <w:spacing w:line="480" w:lineRule="atLeas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shd w:val="clear" w:color="auto" w:fill="F9F9F9"/>
        </w:rPr>
        <w:t>河南省政府采购合同融资政策告知函</w:t>
      </w:r>
    </w:p>
    <w:p>
      <w:pPr>
        <w:widowControl/>
        <w:shd w:val="clear" w:color="auto" w:fill="F9F9F9"/>
        <w:spacing w:line="480" w:lineRule="atLeast"/>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shd w:val="clear" w:color="auto" w:fill="F9F9F9"/>
        </w:rPr>
        <w:t> </w:t>
      </w:r>
    </w:p>
    <w:p>
      <w:pPr>
        <w:widowControl/>
        <w:shd w:val="clear" w:color="auto" w:fill="F9F9F9"/>
        <w:spacing w:line="48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9F9F9"/>
        </w:rPr>
        <w:t>各供应商：</w:t>
      </w:r>
    </w:p>
    <w:p>
      <w:pPr>
        <w:widowControl/>
        <w:shd w:val="clear" w:color="auto" w:fill="F9F9F9"/>
        <w:spacing w:line="480" w:lineRule="atLeast"/>
        <w:ind w:firstLine="6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9F9F9"/>
        </w:rPr>
        <w:t>欢迎贵公司参与河南省政府采购活动！</w:t>
      </w:r>
    </w:p>
    <w:p>
      <w:pPr>
        <w:widowControl/>
        <w:shd w:val="clear" w:color="auto" w:fill="F9F9F9"/>
        <w:spacing w:line="480" w:lineRule="atLeast"/>
        <w:ind w:firstLine="6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9F9F9"/>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shd w:val="clear" w:color="auto" w:fill="F9F9F9"/>
        <w:spacing w:line="480" w:lineRule="atLeast"/>
        <w:ind w:firstLine="6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9F9F9"/>
        </w:rPr>
        <w:t>贷款渠道和提供贷款的金融机构，可在河南省政府采购网“河南省政府采购合同融资平台”查询联系。</w:t>
      </w:r>
    </w:p>
    <w:p>
      <w:pPr>
        <w:widowControl/>
        <w:shd w:val="clear" w:color="auto" w:fill="F9F9F9"/>
        <w:spacing w:line="480" w:lineRule="atLeast"/>
        <w:ind w:firstLine="64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"http://www.hngp.gov.cn/henan/content?infoId=1601449567470800&amp;channelCode=H6016" </w:instrText>
      </w:r>
      <w:r>
        <w:rPr>
          <w:color w:val="auto"/>
          <w:highlight w:val="none"/>
        </w:rPr>
        <w:fldChar w:fldCharType="separate"/>
      </w:r>
      <w:r>
        <w:rPr>
          <w:rStyle w:val="33"/>
          <w:rFonts w:hint="eastAsia" w:asciiTheme="minorEastAsia" w:hAnsiTheme="minorEastAsia" w:eastAsiaTheme="minorEastAsia" w:cstheme="minorEastAsia"/>
          <w:color w:val="auto"/>
          <w:sz w:val="24"/>
          <w:szCs w:val="24"/>
          <w:highlight w:val="none"/>
          <w:shd w:val="clear" w:color="auto" w:fill="F9F9F9"/>
        </w:rPr>
        <w:t>政策解读：/henan/content?infoId=1601449567470800&amp;channelCode=H6016</w:t>
      </w:r>
      <w:r>
        <w:rPr>
          <w:rStyle w:val="33"/>
          <w:rFonts w:hint="eastAsia" w:asciiTheme="minorEastAsia" w:hAnsiTheme="minorEastAsia" w:eastAsiaTheme="minorEastAsia" w:cstheme="minorEastAsia"/>
          <w:color w:val="auto"/>
          <w:sz w:val="24"/>
          <w:szCs w:val="24"/>
          <w:highlight w:val="none"/>
          <w:shd w:val="clear" w:color="auto" w:fill="F9F9F9"/>
        </w:rPr>
        <w:fldChar w:fldCharType="end"/>
      </w:r>
    </w:p>
    <w:p>
      <w:pPr>
        <w:autoSpaceDE w:val="0"/>
        <w:autoSpaceDN w:val="0"/>
        <w:adjustRightInd w:val="0"/>
        <w:spacing w:line="500" w:lineRule="exact"/>
        <w:jc w:val="center"/>
        <w:rPr>
          <w:rFonts w:ascii="宋体" w:hAnsi="宋体" w:eastAsia="宋体" w:cs="宋体"/>
          <w:b/>
          <w:bCs/>
          <w:color w:val="auto"/>
          <w:sz w:val="36"/>
          <w:szCs w:val="36"/>
          <w:highlight w:val="none"/>
        </w:rPr>
      </w:pPr>
      <w:bookmarkStart w:id="12" w:name="_Toc25983"/>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bookmarkStart w:id="13" w:name="_Toc23088"/>
      <w:bookmarkStart w:id="14" w:name="_Toc24664"/>
      <w:bookmarkStart w:id="15" w:name="_Toc72253189"/>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rPr>
          <w:rFonts w:hint="eastAsia" w:ascii="宋体" w:hAnsi="宋体" w:eastAsia="宋体" w:cs="宋体"/>
          <w:b/>
          <w:bCs/>
          <w:color w:val="auto"/>
          <w:sz w:val="36"/>
          <w:szCs w:val="36"/>
          <w:highlight w:val="none"/>
          <w:lang w:val="zh-CN"/>
        </w:rPr>
      </w:pPr>
      <w:bookmarkStart w:id="16" w:name="_Toc6145"/>
      <w:r>
        <w:rPr>
          <w:rFonts w:hint="eastAsia" w:ascii="宋体" w:hAnsi="宋体" w:eastAsia="宋体" w:cs="宋体"/>
          <w:b/>
          <w:bCs/>
          <w:color w:val="auto"/>
          <w:sz w:val="36"/>
          <w:szCs w:val="36"/>
          <w:highlight w:val="none"/>
          <w:lang w:val="zh-CN"/>
        </w:rPr>
        <w:br w:type="page"/>
      </w:r>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第三章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供应商须知</w:t>
      </w:r>
      <w:bookmarkEnd w:id="12"/>
      <w:bookmarkEnd w:id="13"/>
      <w:bookmarkEnd w:id="14"/>
      <w:bookmarkEnd w:id="15"/>
      <w:bookmarkEnd w:id="16"/>
    </w:p>
    <w:p>
      <w:pPr>
        <w:spacing w:line="440" w:lineRule="exact"/>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总则</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1、本次招标文件仅适用于本次投标邀请中所叙述采购的</w:t>
      </w:r>
      <w:r>
        <w:rPr>
          <w:rFonts w:hint="eastAsia" w:ascii="宋体" w:hAnsi="宋体" w:eastAsia="宋体" w:cs="宋体"/>
          <w:color w:val="auto"/>
          <w:sz w:val="24"/>
          <w:szCs w:val="24"/>
          <w:highlight w:val="none"/>
          <w:lang w:eastAsia="zh-CN"/>
        </w:rPr>
        <w:t>长垣技师学院(长垣职业中等学校)实训室建设项目</w:t>
      </w:r>
      <w:r>
        <w:rPr>
          <w:rFonts w:hint="eastAsia" w:ascii="宋体" w:hAnsi="宋体" w:eastAsia="宋体" w:cs="宋体"/>
          <w:color w:val="auto"/>
          <w:sz w:val="24"/>
          <w:szCs w:val="24"/>
          <w:highlight w:val="none"/>
        </w:rPr>
        <w:t>的采购。</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1.1本次招标文件的解释权属于采购人和采购代理机构。</w:t>
      </w:r>
    </w:p>
    <w:p>
      <w:pPr>
        <w:pStyle w:val="52"/>
        <w:numPr>
          <w:ilvl w:val="0"/>
          <w:numId w:val="0"/>
        </w:numPr>
        <w:spacing w:line="440" w:lineRule="exact"/>
        <w:ind w:firstLine="480" w:firstLineChars="200"/>
        <w:textAlignment w:val="auto"/>
        <w:rPr>
          <w:rFonts w:cs="宋体"/>
          <w:color w:val="auto"/>
          <w:sz w:val="24"/>
          <w:szCs w:val="24"/>
          <w:highlight w:val="none"/>
        </w:rPr>
      </w:pPr>
      <w:r>
        <w:rPr>
          <w:rFonts w:hint="eastAsia" w:cs="宋体"/>
          <w:color w:val="auto"/>
          <w:sz w:val="24"/>
          <w:szCs w:val="24"/>
          <w:highlight w:val="none"/>
        </w:rPr>
        <w:t>2、定义：</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2.1“采购人”见供应商须知前附表。</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2.2“采购代理机构”见供应商须知前附表。</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2.3“供应商”指符合招标文件规定的各项条件，按时参加投标的供应商。</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2.4“货物”指供应商按采购文件规定需向采购人提供的产品及其他相关的证明资料和材料。</w:t>
      </w:r>
    </w:p>
    <w:p>
      <w:pPr>
        <w:autoSpaceDE w:val="0"/>
        <w:autoSpaceDN w:val="0"/>
        <w:adjustRightIn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5</w:t>
      </w:r>
      <w:r>
        <w:rPr>
          <w:rFonts w:hint="eastAsia" w:ascii="宋体" w:hAnsi="宋体" w:eastAsia="宋体" w:cs="宋体"/>
          <w:color w:val="auto"/>
          <w:kern w:val="2"/>
          <w:sz w:val="24"/>
          <w:szCs w:val="24"/>
          <w:highlight w:val="none"/>
        </w:rPr>
        <w:t>“服务”指采购文件规定供应商须承担的安装、维修、维护和其他类似的义务。</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“投标文件”指供应商响应本招标文件要求编制并在规定时间内提交的文件。</w:t>
      </w:r>
    </w:p>
    <w:p>
      <w:pPr>
        <w:tabs>
          <w:tab w:val="left" w:pos="6830"/>
        </w:tabs>
        <w:autoSpaceDE w:val="0"/>
        <w:autoSpaceDN w:val="0"/>
        <w:adjustRightInd w:val="0"/>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zh-CN"/>
        </w:rPr>
        <w:t>“中标供应商”指接到采购人签发的中标通知书，最终被授予合同的供应商。</w:t>
      </w:r>
    </w:p>
    <w:p>
      <w:pPr>
        <w:pStyle w:val="52"/>
        <w:numPr>
          <w:ilvl w:val="0"/>
          <w:numId w:val="0"/>
        </w:numPr>
        <w:spacing w:line="440" w:lineRule="exact"/>
        <w:ind w:firstLine="480" w:firstLineChars="200"/>
        <w:textAlignment w:val="auto"/>
        <w:rPr>
          <w:rFonts w:cs="宋体"/>
          <w:color w:val="auto"/>
          <w:sz w:val="24"/>
          <w:szCs w:val="24"/>
          <w:highlight w:val="none"/>
        </w:rPr>
      </w:pPr>
      <w:r>
        <w:rPr>
          <w:rFonts w:hint="eastAsia" w:cs="宋体"/>
          <w:color w:val="auto"/>
          <w:sz w:val="24"/>
          <w:szCs w:val="24"/>
          <w:highlight w:val="none"/>
        </w:rPr>
        <w:t>3、合格供应商的条件：</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供应商应遵守国家的有关法律、法规和条例，还须具备《中华人民共和国政府采购法》和本招标文件所要求的内容：</w:t>
      </w:r>
    </w:p>
    <w:p>
      <w:pPr>
        <w:shd w:val="clear" w:color="000000" w:fill="auto"/>
        <w:spacing w:line="48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3.1</w:t>
      </w:r>
      <w:r>
        <w:rPr>
          <w:rFonts w:hint="eastAsia" w:ascii="宋体" w:hAnsi="宋体" w:eastAsia="宋体" w:cs="宋体"/>
          <w:color w:val="auto"/>
          <w:sz w:val="24"/>
          <w:szCs w:val="24"/>
          <w:highlight w:val="none"/>
        </w:rPr>
        <w:t>具有独立承担民事责任能力</w:t>
      </w:r>
      <w:r>
        <w:rPr>
          <w:rFonts w:hint="eastAsia" w:ascii="宋体" w:hAnsi="宋体" w:eastAsia="宋体" w:cs="宋体"/>
          <w:color w:val="auto"/>
          <w:sz w:val="24"/>
          <w:szCs w:val="24"/>
          <w:highlight w:val="none"/>
          <w:lang w:val="zh-CN"/>
        </w:rPr>
        <w:t>；</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3.2具有良好的商业信誉和健全的财务会计制度；</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3.3有依法缴纳税收和社会保障资金的良好纪录；</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3.4在以往的政府采购活动中无违法、违规、违纪、违约行为；</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3.5遵守《中华人民共和国政府采购法》及相关法律、法规和规章；</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3.6供应商应具有的其他资质详见招标文件第一章投标邀请供应商资格要求。</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3.7凡符合上述条件要求，有能力提供合格产品及相关服务，承认本招标文件所有内容的供应商均为合格的供应商。</w:t>
      </w:r>
    </w:p>
    <w:p>
      <w:pPr>
        <w:tabs>
          <w:tab w:val="left" w:pos="54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无论投标过程中的作法和结果如何，供应商应自行承担所有与参加投标有关的全部费用，采购人或采购代理机构在任何情况下均无义务和责任承担上述费用。</w:t>
      </w:r>
    </w:p>
    <w:p>
      <w:pPr>
        <w:pStyle w:val="52"/>
        <w:numPr>
          <w:ilvl w:val="0"/>
          <w:numId w:val="0"/>
        </w:numPr>
        <w:spacing w:line="440" w:lineRule="exact"/>
        <w:ind w:firstLine="600"/>
        <w:textAlignment w:val="auto"/>
        <w:rPr>
          <w:rFonts w:cs="宋体"/>
          <w:color w:val="auto"/>
          <w:sz w:val="24"/>
          <w:szCs w:val="24"/>
          <w:highlight w:val="none"/>
        </w:rPr>
      </w:pPr>
      <w:r>
        <w:rPr>
          <w:rFonts w:hint="eastAsia" w:cs="宋体"/>
          <w:color w:val="auto"/>
          <w:sz w:val="24"/>
          <w:szCs w:val="24"/>
          <w:highlight w:val="none"/>
        </w:rPr>
        <w:t>4、通知：</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与本项目有关的通知，采购代理机构将以书面（包括书面材料、电子邮件、传真等，下同）形式，向供应商发出，电子邮件以潜在供应商的登记为准。收到通知的供应商应以书面方式立即予以回复确认，但供应商未回复或采购代理机构未收到回复时，并不应当被理解为采购代理机构知道、应当知道或不应当被理解为采购代理机构应当推定供应商是否收到通知。因登记有误、传真线路故障或其它任何意外情形，导致所发出的通知延迟送达或无法到达供应商，除非有适当的证据表明采购代理机构已经明知该项应当通知的事项并未实际有效到达且采购代理机构认为仍有条件和必要及时地再次补发通知而故意拖延或不予补发通知，采购代理机构不因此承担任何责任，有关的招标活动可以继续有效地进行。</w:t>
      </w:r>
    </w:p>
    <w:p>
      <w:pPr>
        <w:spacing w:line="440" w:lineRule="exact"/>
        <w:ind w:firstLine="48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由招标文件目录所列内容组成，供应商应详细阅读招标文件的全部内容，按照招标文件要求提交投标文件，并保证所提交的全部资料的真实性，不按招标文件的要求提供的投标文件和资料，可能导致投标被拒绝。供应商请仔细检查所收到的招标文件是否齐全、是否有表述不明确或缺（错、重）字等问题。</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6、投标前招标文件的澄清、修改。</w:t>
      </w:r>
    </w:p>
    <w:p>
      <w:pPr>
        <w:spacing w:line="440" w:lineRule="exact"/>
        <w:ind w:firstLine="480"/>
        <w:jc w:val="left"/>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6.1供应商对招标文件有质疑的应在收到招标文件之日起7 个工作日内或在招标公告期限界满之日起7个工作日内向采购代理机构书面提出。逾期未提出的，采购代理机构将视同供应商认可招标文件，之后再提出的对招标文件的质疑不予接收。</w:t>
      </w:r>
    </w:p>
    <w:p>
      <w:pPr>
        <w:pStyle w:val="52"/>
        <w:numPr>
          <w:ilvl w:val="0"/>
          <w:numId w:val="0"/>
        </w:numPr>
        <w:spacing w:line="440" w:lineRule="exact"/>
        <w:ind w:firstLine="480"/>
        <w:textAlignment w:val="auto"/>
        <w:rPr>
          <w:rFonts w:cs="宋体"/>
          <w:b/>
          <w:color w:val="auto"/>
          <w:sz w:val="24"/>
          <w:szCs w:val="24"/>
          <w:highlight w:val="none"/>
        </w:rPr>
      </w:pPr>
      <w:r>
        <w:rPr>
          <w:rFonts w:hint="eastAsia" w:cs="宋体"/>
          <w:b/>
          <w:color w:val="auto"/>
          <w:sz w:val="24"/>
          <w:szCs w:val="24"/>
          <w:highlight w:val="none"/>
          <w:u w:val="single"/>
        </w:rPr>
        <w:t>6.2采购人或采购代理机构无论出于何种原因，均可对招标文件用补充文件的方式进行澄清或者修改。澄清或者修改的内容可能影响投标文件编制的，采购人应当在投标截止时间至少15日前，以书面形式通知所有获取招标文件的的潜在供应商，不足15日的，采购人应当顺延提交投标文件的截止时间。澄清或者修改的内容作为招标文件的组成部分，对所有领取了招标文件的潜在供应商均具有约束力</w:t>
      </w:r>
      <w:r>
        <w:rPr>
          <w:rFonts w:hint="eastAsia" w:cs="宋体"/>
          <w:b/>
          <w:color w:val="auto"/>
          <w:sz w:val="24"/>
          <w:szCs w:val="24"/>
          <w:highlight w:val="none"/>
        </w:rPr>
        <w:t>。</w:t>
      </w:r>
    </w:p>
    <w:p>
      <w:pPr>
        <w:spacing w:line="440" w:lineRule="exact"/>
        <w:ind w:firstLine="36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6.3供应商在收到上述通知后，应立即向采购代理机构回函确认,否则视为已接收，并同意通知（或修改、或澄清）内容。</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为使供应商有足够的时间按招标文件的修改要求修正投标文件，采购人可酌情决定是否推迟投标的截止日期和开标日期。同时在本次刊登投标邀请的媒体上发布变更公告，此变更对所有潜在供应商均具有约束力，而无论是否已经实际收到该通知。采购人和供应商的权利及义务将受到新的截止期的约束。</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6.5招标文件的约束力:供应商一旦获取了本招标文件并参加投标，即被认为对本招标文件中的所有条件和规定均无异议。</w:t>
      </w:r>
    </w:p>
    <w:p>
      <w:pPr>
        <w:tabs>
          <w:tab w:val="left" w:pos="3738"/>
        </w:tabs>
        <w:spacing w:line="440" w:lineRule="exact"/>
        <w:ind w:firstLine="480"/>
        <w:jc w:val="center"/>
        <w:rPr>
          <w:rFonts w:cs="宋体"/>
          <w:color w:val="auto"/>
          <w:sz w:val="24"/>
          <w:szCs w:val="24"/>
          <w:highlight w:val="none"/>
        </w:rPr>
      </w:pPr>
      <w:r>
        <w:rPr>
          <w:rFonts w:hint="eastAsia" w:ascii="宋体" w:hAnsi="宋体" w:eastAsia="宋体" w:cs="宋体"/>
          <w:b/>
          <w:bCs/>
          <w:color w:val="auto"/>
          <w:sz w:val="24"/>
          <w:szCs w:val="24"/>
          <w:highlight w:val="none"/>
        </w:rPr>
        <w:t>（三）投标文件</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7、投标文件的语言和计量单位。</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7.1供应商提交的全部及任何投标文件，包括技术文件和资料，包括图纸中的说明，以及供应商与采购人就有关采购的所有来往函电等，均应使用中文简体字。</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7.2原版为外文的证书类文件，以及由外国人作出的本人签名、外国公司的名称或外国印章等可以是外文，但必须提供翻译文件，必要时采购代理机构可以要求提供附有公证书的翻译文件。</w:t>
      </w:r>
    </w:p>
    <w:p>
      <w:pPr>
        <w:pStyle w:val="52"/>
        <w:numPr>
          <w:ilvl w:val="0"/>
          <w:numId w:val="0"/>
        </w:numPr>
        <w:spacing w:line="440" w:lineRule="exact"/>
        <w:ind w:firstLine="480"/>
        <w:textAlignment w:val="auto"/>
        <w:rPr>
          <w:rFonts w:cs="宋体"/>
          <w:b/>
          <w:color w:val="auto"/>
          <w:sz w:val="24"/>
          <w:szCs w:val="24"/>
          <w:highlight w:val="none"/>
        </w:rPr>
      </w:pPr>
      <w:r>
        <w:rPr>
          <w:rFonts w:hint="eastAsia" w:cs="宋体"/>
          <w:b/>
          <w:color w:val="auto"/>
          <w:sz w:val="24"/>
          <w:szCs w:val="24"/>
          <w:highlight w:val="none"/>
        </w:rPr>
        <w:t>7.3对违反上述规定情形的，评标委员会有权不予认可。</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7.4所使用的计量单位，应使用国家法定计量单位。</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7.5本招标文件所表述的时间均为北京时间。</w:t>
      </w:r>
    </w:p>
    <w:p>
      <w:pPr>
        <w:pStyle w:val="52"/>
        <w:numPr>
          <w:ilvl w:val="0"/>
          <w:numId w:val="0"/>
        </w:numPr>
        <w:spacing w:line="440" w:lineRule="exact"/>
        <w:ind w:firstLine="420"/>
        <w:textAlignment w:val="auto"/>
        <w:rPr>
          <w:rFonts w:cs="宋体"/>
          <w:color w:val="auto"/>
          <w:sz w:val="24"/>
          <w:szCs w:val="24"/>
          <w:highlight w:val="none"/>
        </w:rPr>
      </w:pPr>
      <w:r>
        <w:rPr>
          <w:rFonts w:hint="eastAsia" w:cs="宋体"/>
          <w:color w:val="auto"/>
          <w:sz w:val="24"/>
          <w:szCs w:val="24"/>
          <w:highlight w:val="none"/>
        </w:rPr>
        <w:t>8、投标文件的组成及相关要求。</w:t>
      </w:r>
    </w:p>
    <w:p>
      <w:pPr>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zh-CN"/>
        </w:rPr>
        <w:t>供应商应按招标文件中提供的投标文件格式要求制作（见第七章投标文件格式）。</w:t>
      </w:r>
    </w:p>
    <w:p>
      <w:pPr>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zh-CN"/>
        </w:rPr>
        <w:t>.2投标文件首页应编制“目录”并标明页码。</w:t>
      </w:r>
    </w:p>
    <w:p>
      <w:pPr>
        <w:pStyle w:val="52"/>
        <w:numPr>
          <w:ilvl w:val="0"/>
          <w:numId w:val="0"/>
        </w:numPr>
        <w:spacing w:line="440" w:lineRule="exact"/>
        <w:ind w:firstLine="480"/>
        <w:textAlignment w:val="auto"/>
        <w:rPr>
          <w:rFonts w:cs="宋体"/>
          <w:b/>
          <w:color w:val="auto"/>
          <w:sz w:val="24"/>
          <w:szCs w:val="24"/>
          <w:highlight w:val="none"/>
        </w:rPr>
      </w:pPr>
      <w:r>
        <w:rPr>
          <w:rFonts w:hint="eastAsia" w:cs="宋体"/>
          <w:color w:val="auto"/>
          <w:sz w:val="24"/>
          <w:szCs w:val="24"/>
          <w:highlight w:val="none"/>
        </w:rPr>
        <w:t>9、投标文件按照招标文件规定的要求，统一编目编码。</w:t>
      </w:r>
      <w:r>
        <w:rPr>
          <w:rFonts w:hint="eastAsia" w:cs="宋体"/>
          <w:b/>
          <w:color w:val="auto"/>
          <w:sz w:val="24"/>
          <w:szCs w:val="24"/>
          <w:highlight w:val="none"/>
        </w:rPr>
        <w:t>为方便评审，投标文件中的各项表格必须按照招标文件格式要求制作。</w:t>
      </w:r>
    </w:p>
    <w:p>
      <w:pPr>
        <w:spacing w:line="440" w:lineRule="exact"/>
        <w:ind w:firstLine="480"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10、投标保证金：不缴纳</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11、投标报价</w:t>
      </w:r>
    </w:p>
    <w:p>
      <w:pPr>
        <w:tabs>
          <w:tab w:val="left" w:pos="840"/>
        </w:tabs>
        <w:autoSpaceDE w:val="0"/>
        <w:autoSpaceDN w:val="0"/>
        <w:adjustRightInd w:val="0"/>
        <w:spacing w:line="440" w:lineRule="exact"/>
        <w:ind w:firstLine="480" w:firstLineChars="2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.1请各供应商认真核实本次采购内容及费用，一旦中标，投标报价即为签订合同价。投标报价应以人民币为结算货币。</w:t>
      </w:r>
    </w:p>
    <w:p>
      <w:pPr>
        <w:tabs>
          <w:tab w:val="left" w:pos="840"/>
        </w:tabs>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.2供应商应按照招标文件提供的投标报价表格式填写报价。</w:t>
      </w:r>
    </w:p>
    <w:p>
      <w:pPr>
        <w:tabs>
          <w:tab w:val="left" w:pos="900"/>
        </w:tabs>
        <w:autoSpaceDE w:val="0"/>
        <w:autoSpaceDN w:val="0"/>
        <w:adjustRightInd w:val="0"/>
        <w:spacing w:line="440" w:lineRule="exact"/>
        <w:ind w:firstLine="480" w:firstLineChars="2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.3供应商任何有选择的报价将被拒绝，恶意竞争经评测低于成本的报价将被拒绝。</w:t>
      </w:r>
    </w:p>
    <w:p>
      <w:pPr>
        <w:pStyle w:val="26"/>
        <w:widowControl w:val="0"/>
        <w:spacing w:after="0" w:line="440" w:lineRule="exact"/>
        <w:ind w:firstLine="480" w:firstLineChars="200"/>
        <w:rPr>
          <w:rFonts w:ascii="宋体" w:hAnsi="宋体" w:eastAsia="宋体" w:cs="宋体"/>
          <w:color w:val="auto"/>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投标文件应对招标文件逐项做出实质性响应，否则该投标将可能被拒绝。供应商投标承诺函应按不低于招标文件中的要求标准做出响应。</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12、本项目的最低报价不能作为中标的保证。</w:t>
      </w:r>
    </w:p>
    <w:p>
      <w:pPr>
        <w:pStyle w:val="52"/>
        <w:numPr>
          <w:ilvl w:val="0"/>
          <w:numId w:val="0"/>
        </w:numPr>
        <w:tabs>
          <w:tab w:val="left" w:pos="42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13、投标内容填写说明</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13.1供应商应详细阅读招标文件的全部内容。投标文件须对招标文件中的内容做出实质性和完整的响应，如果投标文件填报的内容资料不详，或没有提供招标文件中所要求的全部资料及数据，将可能导致投标被拒绝。</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13.2投标文件应按照招标文件规定</w:t>
      </w:r>
      <w:r>
        <w:rPr>
          <w:rFonts w:hint="eastAsia" w:cs="宋体"/>
          <w:b/>
          <w:color w:val="auto"/>
          <w:sz w:val="24"/>
          <w:szCs w:val="24"/>
          <w:highlight w:val="none"/>
        </w:rPr>
        <w:t>、</w:t>
      </w:r>
      <w:r>
        <w:rPr>
          <w:rFonts w:hint="eastAsia" w:cs="宋体"/>
          <w:color w:val="auto"/>
          <w:sz w:val="24"/>
          <w:szCs w:val="24"/>
          <w:highlight w:val="none"/>
          <w:lang w:eastAsia="zh-CN"/>
        </w:rPr>
        <w:t>供应商应</w:t>
      </w:r>
      <w:r>
        <w:rPr>
          <w:rFonts w:hint="eastAsia" w:cs="宋体"/>
          <w:color w:val="auto"/>
          <w:sz w:val="24"/>
          <w:szCs w:val="24"/>
          <w:highlight w:val="none"/>
        </w:rPr>
        <w:t>编制目录，由于编排混乱导致投标文件被误读或查找不到，是供应商自身的责任。</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13.3投标文件应严格按照招标文件的要求提交相关附件表格，并按规定的统一格式填写。投标文件未按规定提交、填写的，将被视为不完整响应的投标文件，其投标有可能被拒绝。</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13.4开标一览表为在开标大会上唱标的内容，要求按格式统一填写，不得自行增减内容。</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13.5供应商应对招标文件中的技术性能逐项做出实质性响应,否则该投标将可能被拒绝。</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13.6供应商的产品质量及</w:t>
      </w:r>
      <w:r>
        <w:rPr>
          <w:rFonts w:hint="eastAsia" w:cs="宋体"/>
          <w:color w:val="auto"/>
          <w:sz w:val="24"/>
          <w:szCs w:val="24"/>
          <w:highlight w:val="none"/>
          <w:lang w:val="zh-CN"/>
        </w:rPr>
        <w:t>投标承诺函</w:t>
      </w:r>
      <w:r>
        <w:rPr>
          <w:rFonts w:hint="eastAsia" w:cs="宋体"/>
          <w:color w:val="auto"/>
          <w:sz w:val="24"/>
          <w:szCs w:val="24"/>
          <w:highlight w:val="none"/>
        </w:rPr>
        <w:t>应按不低于招标文件中的要求标准做出响应。</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13.7供应商必须保证投标文件所提供的全部资料真实可靠，并接受采购人或评标委员会对其中任何资料进一步审查的要求。</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14、投标文件的有效期</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14.1本项目投标文件的有效期详见供应商须知前附表</w:t>
      </w:r>
      <w:r>
        <w:rPr>
          <w:rFonts w:hint="eastAsia" w:ascii="宋体" w:hAnsi="宋体" w:eastAsia="宋体" w:cs="宋体"/>
          <w:color w:val="auto"/>
          <w:sz w:val="24"/>
          <w:szCs w:val="24"/>
          <w:highlight w:val="none"/>
          <w:u w:val="single"/>
        </w:rPr>
        <w:t>第4条</w:t>
      </w:r>
      <w:r>
        <w:rPr>
          <w:rFonts w:hint="eastAsia" w:ascii="宋体" w:hAnsi="宋体" w:eastAsia="宋体" w:cs="宋体"/>
          <w:color w:val="auto"/>
          <w:sz w:val="24"/>
          <w:szCs w:val="24"/>
          <w:highlight w:val="none"/>
        </w:rPr>
        <w:t>，有效期短于此规定的投标文件将被视为无效。</w:t>
      </w:r>
    </w:p>
    <w:p>
      <w:pPr>
        <w:pStyle w:val="52"/>
        <w:numPr>
          <w:ilvl w:val="0"/>
          <w:numId w:val="0"/>
        </w:numPr>
        <w:tabs>
          <w:tab w:val="left" w:pos="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14.2在特殊情况下，采购人可与供应商协商延长投标文件的有效期。这种要求和答复都应以书面形式进行。供应商可以拒绝接受延期要求。同意延长有效期的供应商除按照采购代理机构要求修改投标文件有效期外，不能修改投标文件的其他内容。</w:t>
      </w:r>
    </w:p>
    <w:p>
      <w:pPr>
        <w:pStyle w:val="52"/>
        <w:numPr>
          <w:ilvl w:val="0"/>
          <w:numId w:val="0"/>
        </w:numPr>
        <w:tabs>
          <w:tab w:val="left" w:pos="900"/>
        </w:tabs>
        <w:spacing w:line="440" w:lineRule="exact"/>
        <w:ind w:firstLine="480" w:firstLineChars="200"/>
        <w:textAlignment w:val="auto"/>
        <w:rPr>
          <w:rFonts w:cs="宋体"/>
          <w:color w:val="auto"/>
          <w:sz w:val="24"/>
          <w:szCs w:val="24"/>
          <w:highlight w:val="none"/>
        </w:rPr>
      </w:pPr>
      <w:r>
        <w:rPr>
          <w:rFonts w:hint="eastAsia" w:cs="宋体"/>
          <w:color w:val="auto"/>
          <w:sz w:val="24"/>
          <w:szCs w:val="24"/>
          <w:highlight w:val="none"/>
        </w:rPr>
        <w:t>15、投标文件的签署及其他规定，组成投标文件的各项文件均应遵守本条。</w:t>
      </w:r>
    </w:p>
    <w:p>
      <w:pPr>
        <w:pStyle w:val="52"/>
        <w:numPr>
          <w:ilvl w:val="0"/>
          <w:numId w:val="0"/>
        </w:numPr>
        <w:spacing w:line="440" w:lineRule="exact"/>
        <w:ind w:firstLine="480"/>
        <w:textAlignment w:val="auto"/>
        <w:rPr>
          <w:rFonts w:cs="宋体"/>
          <w:b/>
          <w:color w:val="auto"/>
          <w:sz w:val="24"/>
          <w:szCs w:val="24"/>
          <w:highlight w:val="none"/>
          <w:u w:val="single"/>
        </w:rPr>
      </w:pPr>
      <w:r>
        <w:rPr>
          <w:rFonts w:hint="eastAsia" w:cs="宋体"/>
          <w:color w:val="auto"/>
          <w:sz w:val="24"/>
          <w:szCs w:val="24"/>
          <w:highlight w:val="none"/>
        </w:rPr>
        <w:t>15.1供应商（仅指供应商）在投标文件及相关文件的签订、履行、通知等事项的书面文件中的单位盖章、印章、公章等处均仅指与</w:t>
      </w:r>
      <w:r>
        <w:rPr>
          <w:rFonts w:hint="eastAsia" w:cs="宋体"/>
          <w:b/>
          <w:color w:val="auto"/>
          <w:sz w:val="24"/>
          <w:szCs w:val="24"/>
          <w:highlight w:val="none"/>
          <w:u w:val="single"/>
        </w:rPr>
        <w:t>供应商名称全称相一致的标准公章，不得使用其它形式（如带有“专用章”等字样的印章）。否则将被视为无效印章不予认可。</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kern w:val="1"/>
          <w:sz w:val="24"/>
          <w:szCs w:val="24"/>
          <w:highlight w:val="none"/>
        </w:rPr>
        <w:t>16、供应商须注意：为合理节约政府采购评审成本，提倡诚实信用的投标行为，特别要求供应商应本着诚信精神，在本次投标文件的技术规格偏差表（格式附后），均以审慎的态度明确、清楚地披露各项偏离。若供应商对某一事项是否存在或是否属于偏离不能确定，亦必须在技术规格偏离表中清楚地表明该偏离事项，并可以注明不能确定的字样。任何情况下，对于供应商没有在技术规格偏离表中明确、清楚地披露的事项，包括可能属于被供应商在技术规格偏离表中遗漏披露的事项，</w:t>
      </w:r>
      <w:r>
        <w:rPr>
          <w:rFonts w:hint="eastAsia" w:cs="宋体"/>
          <w:b/>
          <w:bCs/>
          <w:color w:val="auto"/>
          <w:kern w:val="1"/>
          <w:sz w:val="24"/>
          <w:szCs w:val="24"/>
          <w:highlight w:val="none"/>
        </w:rPr>
        <w:t>一旦在评审中被发现存在负偏离或被认定为属于负偏离，评委会将按照文件中有关规定进行处理。</w:t>
      </w:r>
    </w:p>
    <w:p>
      <w:pPr>
        <w:spacing w:line="440" w:lineRule="exact"/>
        <w:ind w:firstLine="480"/>
        <w:rPr>
          <w:rFonts w:ascii="宋体" w:hAnsi="宋体" w:eastAsia="宋体" w:cs="宋体"/>
          <w:b/>
          <w:color w:val="auto"/>
          <w:sz w:val="24"/>
          <w:szCs w:val="24"/>
          <w:highlight w:val="none"/>
        </w:rPr>
      </w:pPr>
      <w:r>
        <w:rPr>
          <w:rFonts w:hint="eastAsia" w:cs="宋体"/>
          <w:color w:val="auto"/>
          <w:sz w:val="24"/>
          <w:szCs w:val="24"/>
          <w:highlight w:val="none"/>
        </w:rPr>
        <w:t>17、</w:t>
      </w:r>
      <w:r>
        <w:rPr>
          <w:rFonts w:hint="eastAsia" w:ascii="宋体" w:hAnsi="宋体" w:eastAsia="宋体" w:cs="宋体"/>
          <w:b/>
          <w:color w:val="auto"/>
          <w:sz w:val="24"/>
          <w:szCs w:val="24"/>
          <w:highlight w:val="none"/>
        </w:rPr>
        <w:t>供应商提供电子文档</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，有关资格证明文件和证书、检验报告等应依原样扫描为电子文档，且清晰易读。</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18、在招标文件中已明示需盖章及签名之处，电子投标文件应按招标文件要求加盖供应商电子印章和法人电子印章或授权代表电子印章。</w:t>
      </w:r>
    </w:p>
    <w:p>
      <w:pPr>
        <w:pStyle w:val="52"/>
        <w:numPr>
          <w:ilvl w:val="0"/>
          <w:numId w:val="0"/>
        </w:numPr>
        <w:tabs>
          <w:tab w:val="left" w:pos="-720"/>
        </w:tabs>
        <w:spacing w:line="440" w:lineRule="exact"/>
        <w:ind w:firstLine="480"/>
        <w:textAlignment w:val="auto"/>
        <w:rPr>
          <w:rFonts w:cs="宋体"/>
          <w:color w:val="auto"/>
          <w:kern w:val="1"/>
          <w:sz w:val="24"/>
          <w:szCs w:val="24"/>
          <w:highlight w:val="none"/>
        </w:rPr>
      </w:pPr>
      <w:r>
        <w:rPr>
          <w:rFonts w:hint="eastAsia" w:cs="宋体"/>
          <w:color w:val="auto"/>
          <w:kern w:val="1"/>
          <w:sz w:val="24"/>
          <w:szCs w:val="24"/>
          <w:highlight w:val="none"/>
        </w:rPr>
        <w:t>18.1投标文件应字迹清楚、内容齐全、不得涂改或增删。如有修改和增删，必须有供应商公章及法定代表人或其授权的供应商代表签字。</w:t>
      </w:r>
    </w:p>
    <w:p>
      <w:pPr>
        <w:pStyle w:val="52"/>
        <w:numPr>
          <w:ilvl w:val="0"/>
          <w:numId w:val="0"/>
        </w:numPr>
        <w:spacing w:line="440" w:lineRule="exact"/>
        <w:ind w:firstLine="480"/>
        <w:textAlignment w:val="auto"/>
        <w:rPr>
          <w:rFonts w:cs="宋体"/>
          <w:color w:val="auto"/>
          <w:kern w:val="1"/>
          <w:sz w:val="24"/>
          <w:szCs w:val="24"/>
          <w:highlight w:val="none"/>
        </w:rPr>
      </w:pPr>
      <w:r>
        <w:rPr>
          <w:rFonts w:hint="eastAsia" w:cs="宋体"/>
          <w:color w:val="auto"/>
          <w:kern w:val="1"/>
          <w:sz w:val="24"/>
          <w:szCs w:val="24"/>
          <w:highlight w:val="none"/>
        </w:rPr>
        <w:t>18.2因投标文件字迹潦草或表达不清所引起的不利后果由供应商承担。</w:t>
      </w:r>
    </w:p>
    <w:p>
      <w:pPr>
        <w:spacing w:line="440" w:lineRule="exact"/>
        <w:ind w:firstLine="48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（四）投标文件的递交</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 投标文件的加密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19.1 供应商应当按照招标文件和长垣市公共资源交易平台的要求加密投标文件，具体要求见供应商须知。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 未按要求加密的投标文件，采购人将予以拒收。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20、投标文件的递交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20.1 供应商应在供应商须知前附表规定的投标截止时间前上传投标文件。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 采购人可以按本须知规定，通过修改招标文件自行决定酌情推迟投标截止期。在此情况下，供应商受投标截止期制约的所有权利和义务均应延长至新的截止期.</w:t>
      </w:r>
      <w:r>
        <w:rPr>
          <w:rFonts w:hint="default" w:ascii="宋体" w:hAnsi="宋体" w:eastAsia="宋体" w:cs="宋体"/>
          <w:color w:val="auto"/>
          <w:sz w:val="24"/>
          <w:szCs w:val="24"/>
          <w:highlight w:val="none"/>
          <w:lang w:val="en-US" w:eastAsia="zh-CN"/>
        </w:rPr>
        <w:t xml:space="preserve">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20.3 供应商递交投标文件的地点：见供应商须知前附表。供应商通过下载招标文件的电子招标投标交易平台递交电子投标文件。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20.4 供应商完成电子投标文件上传后，电子招标投标交易平台即时向供应商发出递交回执通知。递交时间以递交回执通知载明的传输完成时间为准。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20.5 逾期送达的投标文件，采购人将予以拒收。逾期上传的电子版投标文件，长垣市公共资源交易平台将予以拒收。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21、投标文件的修改和撤回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21.1 在第 20.1 条规定的投标截止时间前，供应商可以修改或撤回已递交的投标文件。最终电子投标文件以投标截止时间前完成上传至长垣市公共资源交易中心网交易系统最后一份投标文件为准。供应商在投标截止后，不可以修改或撤回其投标。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22、投标文件的制作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22.1 供应商首先通过长垣市公共资源交易中心新系统注册并绑定 CA。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 供应商通过“长垣市公共资源交易平台”下载《公共资源交易平台投标文件制作系统》。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22.3 供应商登陆并按提示自行下载每个项目每个标段的招标文件。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22.4 供应商须在投标文件递交截止时间前制作并加密、提交：加密的电子版投标文件（*.tbdat 格式）,应在投标文件递交截止时间前通过“长垣市公共资源交易平台”上传。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加密的电子投标文件为“长垣市公共资源交易平台” 网站提供的《公共资源交易平台投标文件制作系统》制作生成的加密版投标文件。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22.6 供应商在制作电子投标文件时，投标函中的内容应认真填写，严格按照格式编辑。所有投标文件内容编制完毕后，须按照招标文件要求签电子电子签章及法定代表人章，在签章过程中企业 CA 与法人 CA 不能同时插入电脑，签章完毕后须用企业 CA 进行加密。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招标文件格式所要求包含的全部资料应全部制作在投标文件内，严格按照本项目招标文件所有格式如实填写（不涉及的内容除外），不应存在漏项或缺项，否则将存在投标文件被拒绝的风险。 </w:t>
      </w:r>
    </w:p>
    <w:p>
      <w:pPr>
        <w:pStyle w:val="58"/>
        <w:spacing w:line="440" w:lineRule="exact"/>
        <w:ind w:firstLine="0"/>
        <w:contextualSpacing/>
        <w:jc w:val="center"/>
        <w:rPr>
          <w:rFonts w:ascii="宋体" w:hAnsi="宋体" w:cs="宋体"/>
          <w:color w:val="auto"/>
          <w:kern w:val="0"/>
          <w:sz w:val="24"/>
          <w:highlight w:val="none"/>
        </w:rPr>
      </w:pPr>
      <w:r>
        <w:rPr>
          <w:rFonts w:hint="eastAsia" w:ascii="宋体" w:hAnsi="宋体" w:cs="宋体"/>
          <w:b/>
          <w:color w:val="auto"/>
          <w:kern w:val="0"/>
          <w:sz w:val="24"/>
          <w:highlight w:val="none"/>
        </w:rPr>
        <w:t>（五）开标和评标</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23、开标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23.1 开标应当在招标文件确定的提交投标文件截止时间的同一时间通过电子招标投标交易平台公开开标。开标地点应当为招标文件中预先确定的地点。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23.2 开标由采购代理机构主持，邀请采购人、供应商和有关方面代表准时参加并宣布招投标工作纪律。供应商未参加开标的，视同认可开标结果。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23.3 开标程序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（1）宣布开标纪律；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2</w:t>
      </w:r>
      <w:r>
        <w:rPr>
          <w:rFonts w:hint="eastAsia" w:ascii="宋体" w:hAnsi="宋体" w:cs="宋体"/>
          <w:color w:val="auto"/>
          <w:sz w:val="24"/>
          <w:highlight w:val="none"/>
          <w:lang w:val="en-US" w:eastAsia="zh-CN"/>
        </w:rPr>
        <w:t xml:space="preserve">）供应商通过长垣市公共资源交易平台对已递交的电子投标文件进行解密，唱标并记录在案；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3</w:t>
      </w:r>
      <w:r>
        <w:rPr>
          <w:rFonts w:hint="eastAsia" w:ascii="宋体" w:hAnsi="宋体" w:cs="宋体"/>
          <w:color w:val="auto"/>
          <w:sz w:val="24"/>
          <w:highlight w:val="none"/>
          <w:lang w:val="en-US" w:eastAsia="zh-CN"/>
        </w:rPr>
        <w:t xml:space="preserve">）采购人代表等有关人员在开标记录上签字确认；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val="en-US" w:eastAsia="zh-CN"/>
        </w:rPr>
        <w:t xml:space="preserve">）开标结束。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default" w:ascii="宋体" w:hAnsi="宋体" w:cs="宋体"/>
          <w:color w:val="auto"/>
          <w:sz w:val="24"/>
          <w:highlight w:val="none"/>
          <w:lang w:val="en-US" w:eastAsia="zh-CN"/>
        </w:rPr>
        <w:t xml:space="preserve">23.4 </w:t>
      </w:r>
      <w:r>
        <w:rPr>
          <w:rFonts w:hint="eastAsia" w:ascii="宋体" w:hAnsi="宋体" w:cs="宋体"/>
          <w:color w:val="auto"/>
          <w:sz w:val="24"/>
          <w:highlight w:val="none"/>
          <w:lang w:val="en-US" w:eastAsia="zh-CN"/>
        </w:rPr>
        <w:t xml:space="preserve">开标异议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供应商对开标有异议的，应当在开标现场提出，采购人当场作出答复，并制作记录。</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24、评标委员会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24.1 根据《政府采购法》、《政府采购货物和服务招标投标管理办法》的规定和招标采购项目的特点组建评标委员会，评标委员会由采购人代表和评审专家组成，成员人数应当为 5 人以上单数，其中评审专家不得少于成员总数的三分之二，对投标文件进行审查、质疑、评估、比较。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24.2 评标委员会将本着公开、公平、公正和规范的原则，严格按照招标文件要求和标准进行评标，履行评委职责，并承担相应的法律责任。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24.3 如评标委员会的工作明显偏离了招标文件的要求，或明显违犯了国家的法律法规，采购人有权解散评标委员会并宣布评标过程及结果无效。 </w:t>
      </w:r>
    </w:p>
    <w:p>
      <w:pPr>
        <w:pStyle w:val="58"/>
        <w:spacing w:line="440" w:lineRule="exact"/>
        <w:ind w:firstLine="480"/>
        <w:contextualSpacing/>
        <w:jc w:val="left"/>
        <w:rPr>
          <w:rFonts w:hint="eastAsia" w:ascii="宋体" w:hAnsi="宋体" w:cs="宋体"/>
          <w:color w:val="auto"/>
          <w:sz w:val="24"/>
          <w:highlight w:val="none"/>
        </w:rPr>
      </w:pPr>
      <w:r>
        <w:rPr>
          <w:rFonts w:hint="eastAsia" w:ascii="宋体" w:hAnsi="宋体" w:cs="宋体"/>
          <w:color w:val="auto"/>
          <w:sz w:val="24"/>
          <w:highlight w:val="none"/>
        </w:rPr>
        <w:t>25、供应商不足3家的，不得开标。</w:t>
      </w:r>
    </w:p>
    <w:p>
      <w:pPr>
        <w:pStyle w:val="58"/>
        <w:spacing w:line="440" w:lineRule="exact"/>
        <w:ind w:firstLine="480"/>
        <w:contextualSpacing/>
        <w:jc w:val="left"/>
        <w:rPr>
          <w:rFonts w:ascii="宋体" w:hAnsi="宋体" w:cs="宋体"/>
          <w:color w:val="auto"/>
          <w:sz w:val="24"/>
          <w:highlight w:val="none"/>
        </w:rPr>
      </w:pPr>
      <w:r>
        <w:rPr>
          <w:rFonts w:hint="eastAsia" w:ascii="宋体" w:hAnsi="宋体" w:cs="宋体"/>
          <w:color w:val="auto"/>
          <w:sz w:val="24"/>
          <w:highlight w:val="none"/>
        </w:rPr>
        <w:t>26、开标过程由采购代理机构负责记录，由参加开标的各供应商代表和相关工作人员签字确认后随采购文件一并存档。</w:t>
      </w:r>
    </w:p>
    <w:p>
      <w:pPr>
        <w:pStyle w:val="58"/>
        <w:spacing w:line="440" w:lineRule="exact"/>
        <w:ind w:firstLine="480"/>
        <w:contextualSpacing/>
        <w:jc w:val="left"/>
        <w:rPr>
          <w:rFonts w:ascii="宋体" w:hAnsi="宋体" w:cs="宋体"/>
          <w:color w:val="auto"/>
          <w:sz w:val="24"/>
          <w:highlight w:val="none"/>
        </w:rPr>
      </w:pPr>
      <w:r>
        <w:rPr>
          <w:rFonts w:hint="eastAsia" w:ascii="宋体" w:hAnsi="宋体" w:cs="宋体"/>
          <w:color w:val="auto"/>
          <w:sz w:val="24"/>
          <w:highlight w:val="none"/>
        </w:rPr>
        <w:t>27、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pStyle w:val="58"/>
        <w:spacing w:line="440" w:lineRule="exact"/>
        <w:ind w:firstLine="480"/>
        <w:contextualSpacing/>
        <w:jc w:val="left"/>
        <w:rPr>
          <w:rFonts w:ascii="宋体" w:hAnsi="宋体" w:cs="宋体"/>
          <w:color w:val="auto"/>
          <w:sz w:val="24"/>
          <w:highlight w:val="none"/>
        </w:rPr>
      </w:pPr>
      <w:r>
        <w:rPr>
          <w:rFonts w:hint="eastAsia" w:ascii="宋体" w:hAnsi="宋体" w:cs="宋体"/>
          <w:color w:val="auto"/>
          <w:sz w:val="24"/>
          <w:highlight w:val="none"/>
        </w:rPr>
        <w:t>28、供应商未参加开标的，视同认可开标结果。</w:t>
      </w:r>
    </w:p>
    <w:p>
      <w:pPr>
        <w:widowControl/>
        <w:spacing w:line="440" w:lineRule="exact"/>
        <w:ind w:firstLine="477"/>
        <w:rPr>
          <w:rFonts w:cs="宋体"/>
          <w:b/>
          <w:color w:val="auto"/>
          <w:sz w:val="24"/>
          <w:szCs w:val="24"/>
          <w:highlight w:val="none"/>
        </w:rPr>
      </w:pPr>
      <w:r>
        <w:rPr>
          <w:rFonts w:hint="eastAsia" w:ascii="宋体" w:hAnsi="宋体" w:eastAsia="宋体" w:cs="宋体"/>
          <w:b/>
          <w:color w:val="auto"/>
          <w:sz w:val="24"/>
          <w:szCs w:val="24"/>
          <w:highlight w:val="none"/>
        </w:rPr>
        <w:t>29、开标后，采购人或采购代理机构将首先对投标文件进行资格性审查。</w:t>
      </w:r>
    </w:p>
    <w:p>
      <w:pPr>
        <w:widowControl/>
        <w:tabs>
          <w:tab w:val="left" w:pos="900"/>
        </w:tabs>
        <w:spacing w:line="440" w:lineRule="exact"/>
        <w:ind w:firstLine="47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重大偏离（负偏离）或保留系指投标货物的质量、数量和工期明显不能满足招标文件的要求或无效的；或者实质上与招标文件不一致，而且限制了采购人的权利或供应商的义务，纠正这些偏离或保留将对其他实质上响应要求的供应商的竞争地位产生不公正的影响，出现下述情况的评标委员会将予以拒绝。包括但不限于：</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29.1.1投标文件未按招标文件的规定签署、盖章的；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29.1.2投标有效期不足的；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29.1.3未按照招标文件规定报价的；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29.1.4供应商以他人名义投标,串通投标,以行贿手段牟取中标或以其他弄虚作假方式投标的；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29.1.5投标文件附有采购人不能接受的条件；</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29.1.6</w:t>
      </w:r>
      <w:r>
        <w:rPr>
          <w:rFonts w:hint="eastAsia" w:ascii="宋体" w:hAnsi="宋体" w:eastAsia="宋体" w:cs="宋体"/>
          <w:b/>
          <w:bCs/>
          <w:color w:val="auto"/>
          <w:sz w:val="24"/>
          <w:szCs w:val="24"/>
          <w:highlight w:val="none"/>
        </w:rPr>
        <w:t>供应商所提交的投标文件出现两个报价的；</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29.1.7不符合招标文件中规定的其他实质性要求的。</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29.2如果投标文件实质上没有响应招标文件的要求，评标委员会将予以拒绝，供应商不得再对投标文件进行任何修正从而使其投标成为实质上响应的投标。</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 xml:space="preserve">29.3审查中，对明显的文字和计算错误按下述原则处理： </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29.3.1投标文件中投标函内容与投标文件中投标报价一览表内容不一致的，以投标函为准。</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29.3.2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29.4评标委员会对投标文件的判定,只依据投标文件内容本身,不依据任何外来证明。</w:t>
      </w:r>
    </w:p>
    <w:p>
      <w:pPr>
        <w:pStyle w:val="52"/>
        <w:numPr>
          <w:ilvl w:val="0"/>
          <w:numId w:val="0"/>
        </w:numPr>
        <w:spacing w:line="440" w:lineRule="exact"/>
        <w:ind w:firstLine="420"/>
        <w:textAlignment w:val="auto"/>
        <w:rPr>
          <w:rFonts w:cs="宋体"/>
          <w:color w:val="auto"/>
          <w:sz w:val="24"/>
          <w:szCs w:val="24"/>
          <w:highlight w:val="none"/>
        </w:rPr>
      </w:pPr>
      <w:r>
        <w:rPr>
          <w:rFonts w:hint="eastAsia" w:cs="宋体"/>
          <w:color w:val="auto"/>
          <w:sz w:val="24"/>
          <w:szCs w:val="24"/>
          <w:highlight w:val="none"/>
        </w:rPr>
        <w:t>30、投标的澄清</w:t>
      </w:r>
    </w:p>
    <w:p>
      <w:pPr>
        <w:pStyle w:val="52"/>
        <w:numPr>
          <w:ilvl w:val="0"/>
          <w:numId w:val="0"/>
        </w:numPr>
        <w:tabs>
          <w:tab w:val="left" w:pos="-18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30.1评标委员会有权要求供应商对投标文件中含义不明确、对同类问题表述不一致或者有明显文字和计算错误等内容作必要的澄清、说明或者补正，该要求应当采用书面形式,并由评标委员会全体人员签字。</w:t>
      </w:r>
    </w:p>
    <w:p>
      <w:pPr>
        <w:pStyle w:val="52"/>
        <w:numPr>
          <w:ilvl w:val="0"/>
          <w:numId w:val="0"/>
        </w:numPr>
        <w:tabs>
          <w:tab w:val="left" w:pos="-18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30.2供应商必须按照评标委员会通知的内容和时间做出书面答复，该答复经法定代表人或供应商代表的签字认可，将作为投标文件内容的一部分。澄清、说明或者补正不得超出投标文件的范围或者改变投标文件的实质性内容。供应商拒不按照要求对投标文件进行澄清、说明或者补正的，评标委员会可拒绝该投标。</w:t>
      </w:r>
    </w:p>
    <w:p>
      <w:pPr>
        <w:pStyle w:val="52"/>
        <w:numPr>
          <w:ilvl w:val="0"/>
          <w:numId w:val="0"/>
        </w:numPr>
        <w:tabs>
          <w:tab w:val="left" w:pos="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30.3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pPr>
        <w:pStyle w:val="52"/>
        <w:numPr>
          <w:ilvl w:val="0"/>
          <w:numId w:val="0"/>
        </w:numPr>
        <w:tabs>
          <w:tab w:val="left" w:pos="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30.4并非每个供应商都将被要求做出澄清和答复。</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31、对投标文件的详细评审</w:t>
      </w:r>
    </w:p>
    <w:p>
      <w:pPr>
        <w:pStyle w:val="52"/>
        <w:numPr>
          <w:ilvl w:val="0"/>
          <w:numId w:val="0"/>
        </w:numPr>
        <w:tabs>
          <w:tab w:val="left" w:pos="-90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31.1评标委员会只对实质上响应招标文件的投标进行评价和比较；评审应严格按照招标文件的要求和条件进行；具体评审原则、方法详见招标文件第六章“评标标准和评标办法”。</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31.2评标应严格按照招标文件规定和评标细则、方法进行，供应商可对任何擅自改变本招标文件中所公布的规则、评标标准、方法的行为进行质疑或投诉。</w:t>
      </w:r>
    </w:p>
    <w:p>
      <w:pPr>
        <w:pStyle w:val="52"/>
        <w:numPr>
          <w:ilvl w:val="0"/>
          <w:numId w:val="0"/>
        </w:numPr>
        <w:spacing w:line="440" w:lineRule="exact"/>
        <w:ind w:firstLine="600"/>
        <w:textAlignment w:val="auto"/>
        <w:rPr>
          <w:rFonts w:cs="宋体"/>
          <w:color w:val="auto"/>
          <w:sz w:val="24"/>
          <w:szCs w:val="24"/>
          <w:highlight w:val="none"/>
        </w:rPr>
      </w:pPr>
      <w:r>
        <w:rPr>
          <w:rFonts w:hint="eastAsia" w:cs="宋体"/>
          <w:color w:val="auto"/>
          <w:sz w:val="24"/>
          <w:szCs w:val="24"/>
          <w:highlight w:val="none"/>
        </w:rPr>
        <w:t>32、确定中标人</w:t>
      </w:r>
    </w:p>
    <w:p>
      <w:pPr>
        <w:pStyle w:val="52"/>
        <w:numPr>
          <w:ilvl w:val="0"/>
          <w:numId w:val="0"/>
        </w:numPr>
        <w:spacing w:line="440" w:lineRule="exact"/>
        <w:ind w:firstLine="480"/>
        <w:textAlignment w:val="auto"/>
        <w:rPr>
          <w:rFonts w:cs="宋体"/>
          <w:b/>
          <w:color w:val="auto"/>
          <w:sz w:val="24"/>
          <w:szCs w:val="24"/>
          <w:highlight w:val="none"/>
        </w:rPr>
      </w:pPr>
      <w:r>
        <w:rPr>
          <w:rFonts w:hint="eastAsia" w:cs="宋体"/>
          <w:b/>
          <w:color w:val="auto"/>
          <w:sz w:val="24"/>
          <w:szCs w:val="24"/>
          <w:highlight w:val="none"/>
        </w:rPr>
        <w:t>32.1评标委员会根据详细评审的结果按评标总得分由高到低的顺序确定1-3名供应商为中标候选人</w:t>
      </w:r>
      <w:r>
        <w:rPr>
          <w:rFonts w:hint="eastAsia" w:cs="宋体"/>
          <w:color w:val="auto"/>
          <w:sz w:val="24"/>
          <w:szCs w:val="24"/>
          <w:highlight w:val="none"/>
        </w:rPr>
        <w:t>。</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32.2采购人将确定排名第一的中标候选人为中标人并向其授予合同。排名第一的中标候选人因不可抗力或者自身原因不能履行合同，采购人将把合同授予排名第二的中标候选人或重新招标，同时，对构成违约的供应商采购单位有权追究其违约和赔偿责任。排名第二的中标候选人因前款规定的同样原因不能签订合同的，采购人将把合同授予排名第三的中标候选人或重新招标。</w:t>
      </w:r>
    </w:p>
    <w:p>
      <w:pPr>
        <w:pStyle w:val="52"/>
        <w:numPr>
          <w:ilvl w:val="0"/>
          <w:numId w:val="0"/>
        </w:numPr>
        <w:tabs>
          <w:tab w:val="left" w:pos="900"/>
        </w:tabs>
        <w:spacing w:line="440" w:lineRule="exact"/>
        <w:ind w:firstLine="480" w:firstLineChars="200"/>
        <w:textAlignment w:val="auto"/>
        <w:rPr>
          <w:rFonts w:cs="宋体"/>
          <w:color w:val="auto"/>
          <w:sz w:val="24"/>
          <w:szCs w:val="24"/>
          <w:highlight w:val="none"/>
        </w:rPr>
      </w:pPr>
      <w:r>
        <w:rPr>
          <w:rFonts w:hint="eastAsia" w:cs="宋体"/>
          <w:color w:val="auto"/>
          <w:sz w:val="24"/>
          <w:szCs w:val="24"/>
          <w:highlight w:val="none"/>
        </w:rPr>
        <w:t>33、评标过程保密</w:t>
      </w:r>
    </w:p>
    <w:p>
      <w:pPr>
        <w:pStyle w:val="52"/>
        <w:numPr>
          <w:ilvl w:val="0"/>
          <w:numId w:val="0"/>
        </w:numPr>
        <w:tabs>
          <w:tab w:val="left" w:pos="-54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33.1开标之后，直到授予供应商合同止，凡是属于审查、澄清、评价和比较投标的有关资料以及授标意向等，均不向供应商或其他与评标无关的人员透露。</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33.2在评标期间，供应商企图影响采购人或评标委员会的任何活动，将导致投标被拒绝，并由其承担相应的法律责任。</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34、关于供应商瑕疵滞后发现的处理规则：</w:t>
      </w:r>
    </w:p>
    <w:p>
      <w:pPr>
        <w:pStyle w:val="52"/>
        <w:numPr>
          <w:ilvl w:val="0"/>
          <w:numId w:val="0"/>
        </w:numPr>
        <w:tabs>
          <w:tab w:val="left" w:pos="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34.1无论基于何种原因，各项本应作拒绝处理的情形即便未被及时发现而使该供应商进入初审、详细评审或其它后续程序，包括已经签约的情形，一旦在任何时间被发现存在上述情形，则政府采购监督部门或采购人均有权随时视情形决定是否取消该供应商的此前评议结果，或随时视情形决定是否对该投标予以拒绝，并有权决定采取相应的补救或纠正措施。一旦该供应商被拒绝或被取消该供应商的此前评议结果，其现有的位置将被其他供应商依序替代，相关的一切损失均由该供应商承担。</w:t>
      </w:r>
    </w:p>
    <w:p>
      <w:pPr>
        <w:pStyle w:val="52"/>
        <w:numPr>
          <w:ilvl w:val="0"/>
          <w:numId w:val="0"/>
        </w:numPr>
        <w:tabs>
          <w:tab w:val="left" w:pos="-36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34.2但若已经超过质疑期限而没有被发现且已经签署了相关的合同，之后才发现存在上述情形，经采购人再行审查认为其在技术、必要资质等方面并不存在问题而仅属于商务方面存在瑕疵的问题，且若一旦取消该供应商的此前评议结果或采取类似的处理措施将对本次采购更为不利的情形除外，该情形包括：一旦予以拒绝或采取类似的处理措施将使本次采购的成本大幅上升、延误期限以至可能给采购人造成较大损失、采购人或主要用户出具明确要求维持既定结果的书面意见等。</w:t>
      </w:r>
    </w:p>
    <w:p>
      <w:pPr>
        <w:pStyle w:val="52"/>
        <w:numPr>
          <w:ilvl w:val="0"/>
          <w:numId w:val="0"/>
        </w:numPr>
        <w:tabs>
          <w:tab w:val="left" w:pos="-90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34.3在上述考虑维持结果的情形下，采购人有权要求该存在瑕疵的供应商提供特别担保金用以承担可能产生的赔偿责任，若其拒绝提供该担保或实际提供的担保金额不足要求金额，政府采购监督部门或采购人有权并且应当决定取消该供应商的此前评议结果或采取类似的处理措施。</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35、评标委员会宣布废标的权利出现下列情况之一时，采购人有权宣布废标，并由采购代理机构将废标理由通知所有供应商：</w:t>
      </w:r>
    </w:p>
    <w:p>
      <w:pPr>
        <w:pStyle w:val="52"/>
        <w:numPr>
          <w:ilvl w:val="0"/>
          <w:numId w:val="0"/>
        </w:numPr>
        <w:tabs>
          <w:tab w:val="left" w:pos="1140"/>
        </w:tabs>
        <w:spacing w:line="440" w:lineRule="exact"/>
        <w:ind w:firstLine="480"/>
        <w:textAlignment w:val="auto"/>
        <w:rPr>
          <w:rFonts w:cs="宋体"/>
          <w:b/>
          <w:color w:val="auto"/>
          <w:sz w:val="24"/>
          <w:szCs w:val="24"/>
          <w:highlight w:val="none"/>
        </w:rPr>
      </w:pPr>
      <w:r>
        <w:rPr>
          <w:rFonts w:hint="eastAsia" w:cs="宋体"/>
          <w:b/>
          <w:color w:val="auto"/>
          <w:sz w:val="24"/>
          <w:szCs w:val="24"/>
          <w:highlight w:val="none"/>
        </w:rPr>
        <w:t>35.1符合专业条件的供应商或者对招标文件作实质性响应的供应商不足三家的；</w:t>
      </w:r>
    </w:p>
    <w:p>
      <w:pPr>
        <w:pStyle w:val="52"/>
        <w:numPr>
          <w:ilvl w:val="0"/>
          <w:numId w:val="0"/>
        </w:numPr>
        <w:tabs>
          <w:tab w:val="left" w:pos="420"/>
        </w:tabs>
        <w:spacing w:line="440" w:lineRule="exact"/>
        <w:ind w:firstLine="470"/>
        <w:textAlignment w:val="auto"/>
        <w:rPr>
          <w:rFonts w:cs="宋体"/>
          <w:b/>
          <w:color w:val="auto"/>
          <w:sz w:val="24"/>
          <w:szCs w:val="24"/>
          <w:highlight w:val="none"/>
        </w:rPr>
      </w:pPr>
      <w:r>
        <w:rPr>
          <w:rFonts w:hint="eastAsia" w:cs="宋体"/>
          <w:b/>
          <w:color w:val="auto"/>
          <w:sz w:val="24"/>
          <w:szCs w:val="24"/>
          <w:highlight w:val="none"/>
        </w:rPr>
        <w:t>35.2出现影响采购公正的违法、违规行为的；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35.3供应商的报价均超出采购预算，采购人不能支付的；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35.4因重大变故，采购任务取消的。</w:t>
      </w:r>
    </w:p>
    <w:p>
      <w:pPr>
        <w:pStyle w:val="52"/>
        <w:numPr>
          <w:ilvl w:val="0"/>
          <w:numId w:val="0"/>
        </w:numPr>
        <w:tabs>
          <w:tab w:val="left" w:pos="420"/>
        </w:tabs>
        <w:spacing w:line="440" w:lineRule="exact"/>
        <w:ind w:firstLine="360"/>
        <w:jc w:val="center"/>
        <w:textAlignment w:val="auto"/>
        <w:rPr>
          <w:rFonts w:cs="宋体"/>
          <w:b/>
          <w:color w:val="auto"/>
          <w:sz w:val="24"/>
          <w:szCs w:val="24"/>
          <w:highlight w:val="none"/>
        </w:rPr>
      </w:pPr>
      <w:r>
        <w:rPr>
          <w:rFonts w:hint="eastAsia" w:cs="宋体"/>
          <w:b/>
          <w:color w:val="auto"/>
          <w:sz w:val="24"/>
          <w:szCs w:val="24"/>
          <w:highlight w:val="none"/>
        </w:rPr>
        <w:t>（</w:t>
      </w:r>
      <w:r>
        <w:rPr>
          <w:rFonts w:hint="eastAsia" w:cs="宋体"/>
          <w:b/>
          <w:color w:val="auto"/>
          <w:sz w:val="24"/>
          <w:szCs w:val="24"/>
          <w:highlight w:val="none"/>
          <w:lang w:eastAsia="zh-CN"/>
        </w:rPr>
        <w:t>六</w:t>
      </w:r>
      <w:r>
        <w:rPr>
          <w:rFonts w:hint="eastAsia" w:cs="宋体"/>
          <w:b/>
          <w:color w:val="auto"/>
          <w:sz w:val="24"/>
          <w:szCs w:val="24"/>
          <w:highlight w:val="none"/>
        </w:rPr>
        <w:t>）中标和合同</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36、中标通知</w:t>
      </w:r>
    </w:p>
    <w:p>
      <w:pPr>
        <w:spacing w:line="440" w:lineRule="exact"/>
        <w:ind w:firstLine="508" w:firstLineChars="21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代理机构在评标结束后2个工作日内将评标报告送采购人。采购人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pacing w:line="440" w:lineRule="exact"/>
        <w:ind w:firstLine="420" w:firstLineChars="175"/>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36.2采购人或者采购代理机构应当自中标人确定之日起2个工作日内，在省级以上财政部门指定的媒体上公告中标结果，招标文件应当随中标结果同时公告。中标公告期限为1个工作日。在公告中标结果的同时，采购人或者采购代理机构应当向中标人发出中标通知书。</w:t>
      </w:r>
    </w:p>
    <w:p>
      <w:pPr>
        <w:spacing w:line="440" w:lineRule="exact"/>
        <w:ind w:firstLine="24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36.3中标通知书发出后，采购人不得违法改变中标结果，中标人无正当理由不得放弃中标。</w:t>
      </w:r>
    </w:p>
    <w:p>
      <w:pPr>
        <w:pStyle w:val="52"/>
        <w:numPr>
          <w:ilvl w:val="0"/>
          <w:numId w:val="0"/>
        </w:numPr>
        <w:spacing w:line="440" w:lineRule="exact"/>
        <w:ind w:firstLine="240" w:firstLineChars="100"/>
        <w:textAlignment w:val="auto"/>
        <w:rPr>
          <w:rFonts w:cs="宋体"/>
          <w:color w:val="auto"/>
          <w:sz w:val="24"/>
          <w:szCs w:val="24"/>
          <w:highlight w:val="none"/>
        </w:rPr>
      </w:pPr>
      <w:r>
        <w:rPr>
          <w:rFonts w:hint="eastAsia" w:cs="宋体"/>
          <w:color w:val="auto"/>
          <w:sz w:val="24"/>
          <w:szCs w:val="24"/>
          <w:highlight w:val="none"/>
        </w:rPr>
        <w:t>37、签订合同</w:t>
      </w:r>
    </w:p>
    <w:p>
      <w:pPr>
        <w:pStyle w:val="52"/>
        <w:numPr>
          <w:ilvl w:val="0"/>
          <w:numId w:val="0"/>
        </w:numPr>
        <w:tabs>
          <w:tab w:val="left" w:pos="-360"/>
        </w:tabs>
        <w:spacing w:line="440" w:lineRule="exact"/>
        <w:ind w:firstLine="240" w:firstLineChars="100"/>
        <w:textAlignment w:val="auto"/>
        <w:rPr>
          <w:rFonts w:cs="宋体"/>
          <w:color w:val="auto"/>
          <w:sz w:val="24"/>
          <w:szCs w:val="24"/>
          <w:highlight w:val="none"/>
        </w:rPr>
      </w:pPr>
      <w:r>
        <w:rPr>
          <w:rFonts w:hint="eastAsia" w:cs="宋体"/>
          <w:color w:val="auto"/>
          <w:sz w:val="24"/>
          <w:szCs w:val="24"/>
          <w:highlight w:val="none"/>
        </w:rPr>
        <w:t>37.1采购人应当自中标通知书发出之日起15 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37.2政府采购合同应当包括采购人与中标人的名称和住所、标的、数量、质量、价款或者报酬、履行期限及地点和方式、验收要求、违约责任、解决争议的方法等内容。</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37.3采购人与中标人应当根据合同的约定依法履行合同义务。政府采购合同的履行、违约责任和解决争议的方法等适用《中华人民共和国民法典》。</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37.4采购人应当及时对采购项目进行验收。采购人可以邀请参加本项目的其他供应商或者第三方机构参与验收。参与验收的供应商或者第三方机构的意见作为验收书的参考资料一并存档。</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37.5采购人应当加强对中标人的履约管理，并按照采购合同约定，及时向中标人支付采购资金。对于中标人违反采购合同约定的行为，采购人应当及时处理，依法追究其违约责任。</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37.6采购人、采购代理机构应当建立真实完整的招标采购档案，妥善保存每项采购活动的采购文件</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37.7采购人对未中标的供应商不作未中标原因的解释，不退还投标文件。</w:t>
      </w:r>
    </w:p>
    <w:p>
      <w:pPr>
        <w:pStyle w:val="52"/>
        <w:numPr>
          <w:ilvl w:val="0"/>
          <w:numId w:val="0"/>
        </w:numPr>
        <w:tabs>
          <w:tab w:val="left" w:pos="-180"/>
        </w:tabs>
        <w:spacing w:line="440" w:lineRule="exact"/>
        <w:ind w:firstLine="360"/>
        <w:textAlignment w:val="auto"/>
        <w:rPr>
          <w:rFonts w:cs="宋体"/>
          <w:color w:val="auto"/>
          <w:sz w:val="24"/>
          <w:szCs w:val="24"/>
          <w:highlight w:val="none"/>
        </w:rPr>
      </w:pPr>
      <w:r>
        <w:rPr>
          <w:rFonts w:hint="eastAsia" w:cs="宋体"/>
          <w:color w:val="auto"/>
          <w:sz w:val="24"/>
          <w:szCs w:val="24"/>
          <w:highlight w:val="none"/>
        </w:rPr>
        <w:t>37.8采购人如需调整合同标的货物，须经政府采购监督部门的批准，在不改变合同其他条款的前提下，中标人可与采购人协商签订补充合同，但所有补充合同的采购金额不得超过原合同金额的百分之十。</w:t>
      </w:r>
    </w:p>
    <w:p>
      <w:pPr>
        <w:widowControl/>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37.9供应商一旦中标及签订合同后不得对采购项目转包、分包，亦不得将合同全部及任何权利、义务向第三方转让，否则将被视为严重违约，采购人有权决定按照中标人中标后毁标、终止或解除合同等违约处理。转包或分包造成采购人损失的，中标人还应承担相应赔偿责任。</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37.10不按约定签定或履行合同，给对方造成损失的，应承担赔偿责任。</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37.11</w:t>
      </w:r>
      <w:r>
        <w:rPr>
          <w:rFonts w:hint="eastAsia" w:cs="宋体"/>
          <w:color w:val="auto"/>
          <w:sz w:val="24"/>
          <w:szCs w:val="24"/>
          <w:highlight w:val="none"/>
          <w:lang w:eastAsia="zh-CN"/>
        </w:rPr>
        <w:t>采购人</w:t>
      </w:r>
      <w:r>
        <w:rPr>
          <w:rFonts w:hint="eastAsia" w:cs="宋体"/>
          <w:color w:val="auto"/>
          <w:sz w:val="24"/>
          <w:szCs w:val="24"/>
          <w:highlight w:val="none"/>
        </w:rPr>
        <w:t>应当自合同或补充合同签订之日起三个工作日内，将合同副本报</w:t>
      </w:r>
      <w:r>
        <w:rPr>
          <w:rFonts w:hint="eastAsia" w:ascii="宋体" w:hAnsi="宋体" w:eastAsia="宋体" w:cs="宋体"/>
          <w:color w:val="auto"/>
          <w:sz w:val="24"/>
          <w:szCs w:val="24"/>
          <w:highlight w:val="none"/>
          <w:lang w:val="zh-CN"/>
        </w:rPr>
        <w:t>合同签订后报长垣市财政局备案</w:t>
      </w:r>
      <w:r>
        <w:rPr>
          <w:rFonts w:hint="eastAsia" w:cs="宋体"/>
          <w:color w:val="auto"/>
          <w:sz w:val="24"/>
          <w:szCs w:val="24"/>
          <w:highlight w:val="none"/>
        </w:rPr>
        <w:t>。</w:t>
      </w:r>
    </w:p>
    <w:p>
      <w:pPr>
        <w:tabs>
          <w:tab w:val="left" w:pos="3738"/>
        </w:tabs>
        <w:spacing w:line="440" w:lineRule="exact"/>
        <w:jc w:val="center"/>
        <w:rPr>
          <w:rFonts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）中标服务费</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38、中标服务费</w:t>
      </w:r>
    </w:p>
    <w:p>
      <w:pPr>
        <w:tabs>
          <w:tab w:val="left" w:pos="1980"/>
          <w:tab w:val="left" w:pos="432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中标服务费：中标供应商在领取中标通知书前参照计价格[2002]1980号、发改办价格[2003]857号、发改价格[2011]534号文规定向采购代理机构缴纳中标服务费，请供应商在测算投标报价时充分考虑这一因素。</w:t>
      </w:r>
    </w:p>
    <w:p>
      <w:pPr>
        <w:tabs>
          <w:tab w:val="left" w:pos="3738"/>
        </w:tabs>
        <w:spacing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）处罚、询问和质疑</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39、发生下列情况之一，供应商被列入不良记录名单，供应商今后参与同类政府采购项目的机会可能会受到影响：</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（1）开标后在投标有效期内，供应商撤回其投标；</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（2）中标人未按本招标文件规定签约；</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（3）中标人与采购人订立背离合同实质性内容的其它协议；</w:t>
      </w:r>
    </w:p>
    <w:p>
      <w:pPr>
        <w:tabs>
          <w:tab w:val="left" w:pos="1080"/>
          <w:tab w:val="left" w:pos="1260"/>
          <w:tab w:val="left" w:pos="144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（4）在投标文件中有意提供虚假材料的；</w:t>
      </w:r>
    </w:p>
    <w:p>
      <w:pPr>
        <w:tabs>
          <w:tab w:val="left" w:pos="1080"/>
          <w:tab w:val="left" w:pos="1260"/>
          <w:tab w:val="left" w:pos="144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（5）中标人拒绝在中标通知书规定的时间内签订合同的；</w:t>
      </w:r>
    </w:p>
    <w:p>
      <w:pPr>
        <w:tabs>
          <w:tab w:val="left" w:pos="1080"/>
          <w:tab w:val="left" w:pos="1260"/>
          <w:tab w:val="left" w:pos="144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（6）未按招标文件规定的时间向采购代理机构交纳中标服务费的；</w:t>
      </w:r>
    </w:p>
    <w:p>
      <w:pPr>
        <w:tabs>
          <w:tab w:val="left" w:pos="1080"/>
          <w:tab w:val="left" w:pos="1260"/>
          <w:tab w:val="left" w:pos="144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（7）采取不正当手段诋毁、排挤其他供应商的；</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（8）供应商其它未按招标文件规定和合同约定履行义务的行为。</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39.1在投标、评标过程中，如有供应商联合故意抬高报价或其他不正当行</w:t>
      </w:r>
      <w:bookmarkStart w:id="17" w:name="_Hlt91995185"/>
      <w:bookmarkEnd w:id="17"/>
      <w:r>
        <w:rPr>
          <w:rFonts w:hint="eastAsia" w:ascii="宋体" w:hAnsi="宋体" w:eastAsia="宋体" w:cs="宋体"/>
          <w:color w:val="auto"/>
          <w:sz w:val="24"/>
          <w:szCs w:val="24"/>
          <w:highlight w:val="none"/>
        </w:rPr>
        <w:t>为，采购人有权中止招标或评标。</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40、询问和质疑</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为保护政府采购当事人的合法权益，维护政府采购公平竞争环境，建立规范高效的政府采购质疑处理机制，依据《中国人民共和国政府采购法》、《中国人民共和国政府采购法实施条例》、《政府采购供应商投诉处理办法》（财政部94号令）、《财政部关于加强政府采购供应商投诉受理审查工作的通知》（财库[2007]1号）、《政府采购货物和服务招标投标管理办法》（中华人民共和国财政部令第87号）等文件的规定，制定本须知。</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本须知所称被质疑人是指采购人和采购代理机构。</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本须知所称供应商是指符合《政府采购法》的规定条件，参与政府采购竞争活动的当事人。</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第二条供应商如果对招标文件相关条款有何疑义或疑问，可以在知道或者应当知道其权益受到损害之日起7个工作日内（不足7 个工作日的必须在投标截止3个日历日前）向采购人和采购代理机构分别提出，否则均视为可接受条款，开标后不再受理对招标文件相关条款的质疑。</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各有关当事人认为采购过程、预中标(中标)结果或中标(中标)结果使自己的权益受到损害的，可以在知道或者应当知道其权益受到损害之日起7个工作日内，以书面形式同时向采购人和采购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第四条供应商质疑应当符合下列条件：</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（一）必须是参与该质疑政府采购项目活动的供应商；</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（二）在质疑有效期内提出的质疑；</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（三）政府采购监督管理部门规定的其他条件。</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第五条供应商的书面质疑应当包括以下主要内容：</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（一）被质疑人的名称、地址、电话、邮政编码；</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（二）采购项目名称、项目交易编号；</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（三）具体的质疑事项和事实，必须附与质疑事项有关的有效法律证明材料。</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（四）提起质疑的供应商名称、地址、联系方式；</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（五）质疑的日期；</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（六）提起质疑的供应商应当由法定代表人或其委托代理人签字，并加盖法人公章。</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供应商的书面质疑如出现质疑事项不清晰、质疑相关依据或证明材料不全、不符合本须知第四条、第五条的规定等情形，均视为无效质疑，供应商应当依据上述规定重新修改质疑文件，并在规定的期限内提交，逾期不予受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第七条质疑事项属于有关法律、法规和规章规定处于保密阶段的事项，质疑人应提供有效证据，否则，将认定为无效质疑事项。</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第八条供应商的书面质疑属于下列情形之一的，被质疑人可不予受理，并告知其不予受理的原因：</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（一）不是参与该政府采购项目活动的供应商；</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（二）已超过法律规定的质疑期限的；</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（三）匿名的、无法开展调查取证的。</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第九条质疑人拒绝配合采购人和采购代理机构依法进行调查的，按自动撤回质疑处理。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第十条被质疑人应当在收到供应商的书面质疑后7个工作日内做出答复，并以书面形式通知质疑供应商和其他有关供应商。但答复的内容不得涉及商业秘密。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第十一条经调查核实，对质疑事项分别作出下列处理决定：</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（一）质疑人撤回质疑的，终止质疑处理；</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（二）质疑缺乏事实依据的，驳回质疑；</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（三）质疑事项经查证属实的，将按照政府采购有关法律规定处理。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第十二条质疑人捏造事实或者提供虚假质疑材料的,属于虚假、恶意质疑，被质疑人应当驳回质疑，并向同级政府采购监督管理部门报告，核实后将其列入不良行为记录名单，并依法予以处罚。</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质疑供应商对采购人或采购代理机构的答复不满意以及采购人或采购代理机构未在规定的时间内做出答复的，可以在答复期满后15个工作日内向财政部门投诉。</w:t>
      </w:r>
    </w:p>
    <w:p>
      <w:pPr>
        <w:spacing w:line="440" w:lineRule="exact"/>
        <w:ind w:firstLine="42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财政部门地址：长垣市财审大厦4013室</w:t>
      </w:r>
    </w:p>
    <w:p>
      <w:pPr>
        <w:spacing w:line="440" w:lineRule="exact"/>
        <w:ind w:firstLine="42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联系方式：0373-8883625</w:t>
      </w:r>
    </w:p>
    <w:p>
      <w:pPr>
        <w:pStyle w:val="52"/>
        <w:numPr>
          <w:ilvl w:val="0"/>
          <w:numId w:val="0"/>
        </w:numPr>
        <w:spacing w:line="440" w:lineRule="exact"/>
        <w:ind w:firstLine="480"/>
        <w:jc w:val="center"/>
        <w:textAlignment w:val="auto"/>
        <w:rPr>
          <w:rFonts w:cs="宋体"/>
          <w:color w:val="auto"/>
          <w:sz w:val="24"/>
          <w:szCs w:val="24"/>
          <w:highlight w:val="none"/>
        </w:rPr>
      </w:pPr>
      <w:r>
        <w:rPr>
          <w:rFonts w:hint="eastAsia" w:cs="宋体"/>
          <w:b/>
          <w:color w:val="auto"/>
          <w:sz w:val="24"/>
          <w:szCs w:val="24"/>
          <w:highlight w:val="none"/>
        </w:rPr>
        <w:t>（</w:t>
      </w:r>
      <w:r>
        <w:rPr>
          <w:rFonts w:hint="eastAsia" w:cs="宋体"/>
          <w:b/>
          <w:color w:val="auto"/>
          <w:sz w:val="24"/>
          <w:szCs w:val="24"/>
          <w:highlight w:val="none"/>
          <w:lang w:eastAsia="zh-CN"/>
        </w:rPr>
        <w:t>九</w:t>
      </w:r>
      <w:r>
        <w:rPr>
          <w:rFonts w:hint="eastAsia" w:cs="宋体"/>
          <w:b/>
          <w:color w:val="auto"/>
          <w:sz w:val="24"/>
          <w:szCs w:val="24"/>
          <w:highlight w:val="none"/>
        </w:rPr>
        <w:t>）保密和披露</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41、保密和披露</w:t>
      </w:r>
    </w:p>
    <w:p>
      <w:pPr>
        <w:pStyle w:val="52"/>
        <w:numPr>
          <w:ilvl w:val="0"/>
          <w:numId w:val="0"/>
        </w:numPr>
        <w:tabs>
          <w:tab w:val="left" w:pos="-18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41.1供应商自领取招标文件之日起，须承诺承担本招标项目下保密义务，不得将因本次招标获得的信息向第三人外传。</w:t>
      </w:r>
    </w:p>
    <w:p>
      <w:pPr>
        <w:pStyle w:val="52"/>
        <w:numPr>
          <w:ilvl w:val="0"/>
          <w:numId w:val="0"/>
        </w:numPr>
        <w:tabs>
          <w:tab w:val="left" w:pos="18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41.2采购人有权将供应商提供的所有资料向有关政府部门或评审标书的有关人员披露。</w:t>
      </w:r>
    </w:p>
    <w:p>
      <w:pPr>
        <w:pStyle w:val="52"/>
        <w:numPr>
          <w:ilvl w:val="0"/>
          <w:numId w:val="0"/>
        </w:numPr>
        <w:tabs>
          <w:tab w:val="left" w:pos="-360"/>
        </w:tabs>
        <w:spacing w:line="440" w:lineRule="exact"/>
        <w:ind w:firstLine="480"/>
        <w:textAlignment w:val="auto"/>
        <w:rPr>
          <w:rFonts w:cs="宋体"/>
          <w:b/>
          <w:color w:val="auto"/>
          <w:sz w:val="24"/>
          <w:szCs w:val="24"/>
          <w:highlight w:val="none"/>
          <w:lang w:val="zh-CN"/>
        </w:rPr>
      </w:pPr>
      <w:r>
        <w:rPr>
          <w:rFonts w:hint="eastAsia" w:cs="宋体"/>
          <w:color w:val="auto"/>
          <w:sz w:val="24"/>
          <w:szCs w:val="24"/>
          <w:highlight w:val="none"/>
        </w:rPr>
        <w:t>41.3在下列情形下：当发布中标公告和其它公告时，当国家机关调查、审查、审计时，以及其他符合法律规定的情形下，无须事先征求供应商/中标人同意而可以披露关于采购过程、合同文本、签署情况的资料、供应商/中标人的名称及地址、采购内容的有关信息以及补充条款等，但应当在合理的必要范围内。对任何已经公布过的内容或与之内容相同的资料，以及供应商/中标人已经泄露或公开的，无须再承担保密责任。</w:t>
      </w:r>
    </w:p>
    <w:p>
      <w:pPr>
        <w:spacing w:line="440" w:lineRule="exact"/>
        <w:ind w:firstLine="480"/>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（十）诚实信用</w:t>
      </w:r>
    </w:p>
    <w:p>
      <w:pPr>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供应商之间不得相互串通投标报价，不得妨碍其他供应商的公平竞争，不得损害采购人或者其他供应商的合法权益。</w:t>
      </w:r>
    </w:p>
    <w:p>
      <w:pPr>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供应商不得向采购人、评标委员会成员进行商业贿赂或者采取其他不正当手段谋取中标。即使在签订合同后，如果有证据表明供应商有此行为的将按照《政府采购法》有关规定处理。</w:t>
      </w:r>
    </w:p>
    <w:p>
      <w:pPr>
        <w:spacing w:line="360" w:lineRule="auto"/>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widowControl/>
        <w:adjustRightInd w:val="0"/>
        <w:snapToGrid w:val="0"/>
        <w:spacing w:line="500" w:lineRule="exact"/>
        <w:jc w:val="center"/>
        <w:outlineLvl w:val="0"/>
        <w:rPr>
          <w:rFonts w:ascii="宋体" w:hAnsi="宋体" w:eastAsia="宋体" w:cs="宋体"/>
          <w:b/>
          <w:bCs/>
          <w:color w:val="auto"/>
          <w:sz w:val="36"/>
          <w:szCs w:val="36"/>
          <w:highlight w:val="none"/>
        </w:rPr>
      </w:pPr>
      <w:bookmarkStart w:id="18" w:name="_Toc15083"/>
      <w:bookmarkStart w:id="19" w:name="_Toc378"/>
      <w:bookmarkStart w:id="20" w:name="_Toc14146"/>
      <w:bookmarkStart w:id="21" w:name="_Toc22504"/>
      <w:bookmarkStart w:id="22" w:name="_Toc72253190"/>
      <w:bookmarkStart w:id="23" w:name="_Toc18672"/>
      <w:r>
        <w:rPr>
          <w:rFonts w:hint="eastAsia" w:ascii="宋体" w:hAnsi="宋体" w:eastAsia="宋体" w:cs="宋体"/>
          <w:b/>
          <w:bCs/>
          <w:color w:val="auto"/>
          <w:sz w:val="36"/>
          <w:szCs w:val="36"/>
          <w:highlight w:val="none"/>
          <w:lang w:val="zh-CN"/>
        </w:rPr>
        <w:t>第四章 合  同（样本）</w:t>
      </w:r>
      <w:bookmarkEnd w:id="18"/>
      <w:bookmarkEnd w:id="19"/>
      <w:bookmarkEnd w:id="20"/>
      <w:bookmarkEnd w:id="21"/>
      <w:bookmarkEnd w:id="22"/>
      <w:bookmarkEnd w:id="23"/>
    </w:p>
    <w:p>
      <w:pPr>
        <w:widowControl/>
        <w:wordWrap w:val="0"/>
        <w:snapToGrid w:val="0"/>
        <w:spacing w:line="520" w:lineRule="exact"/>
        <w:ind w:firstLine="480" w:firstLineChars="200"/>
        <w:jc w:val="center"/>
        <w:rPr>
          <w:color w:val="auto"/>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采购人可根据采购项目的实际情况增减条款和内容</w:t>
      </w:r>
      <w:r>
        <w:rPr>
          <w:rFonts w:hint="eastAsia" w:ascii="宋体" w:hAnsi="宋体" w:eastAsia="宋体" w:cs="宋体"/>
          <w:b/>
          <w:color w:val="auto"/>
          <w:sz w:val="24"/>
          <w:szCs w:val="24"/>
          <w:highlight w:val="none"/>
        </w:rPr>
        <w:t>）</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供方：</w:t>
      </w:r>
    </w:p>
    <w:p>
      <w:pPr>
        <w:spacing w:line="500" w:lineRule="exact"/>
        <w:ind w:firstLine="480" w:firstLineChars="200"/>
        <w:rPr>
          <w:rFonts w:asciiTheme="minorEastAsia" w:hAnsiTheme="minorEastAsia" w:eastAsiaTheme="minorEastAsia" w:cstheme="minorEastAsia"/>
          <w:color w:val="auto"/>
          <w:sz w:val="24"/>
          <w:szCs w:val="21"/>
          <w:highlight w:val="none"/>
          <w:u w:val="single"/>
        </w:rPr>
      </w:pPr>
      <w:r>
        <w:rPr>
          <w:rFonts w:hint="eastAsia" w:asciiTheme="minorEastAsia" w:hAnsiTheme="minorEastAsia" w:eastAsiaTheme="minorEastAsia" w:cstheme="minorEastAsia"/>
          <w:color w:val="auto"/>
          <w:sz w:val="24"/>
          <w:szCs w:val="21"/>
          <w:highlight w:val="none"/>
        </w:rPr>
        <w:t>需方：</w:t>
      </w:r>
    </w:p>
    <w:p>
      <w:pPr>
        <w:spacing w:line="500" w:lineRule="exact"/>
        <w:ind w:firstLine="480" w:firstLineChars="200"/>
        <w:rPr>
          <w:rFonts w:asciiTheme="minorEastAsia" w:hAnsiTheme="minorEastAsia" w:eastAsiaTheme="minorEastAsia" w:cstheme="minorEastAsia"/>
          <w:color w:val="auto"/>
          <w:sz w:val="24"/>
          <w:szCs w:val="21"/>
          <w:highlight w:val="none"/>
          <w:u w:val="single"/>
        </w:rPr>
      </w:pP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供方持采购人于</w:t>
      </w:r>
      <w:r>
        <w:rPr>
          <w:rFonts w:hint="eastAsia" w:asciiTheme="minorEastAsia" w:hAnsiTheme="minorEastAsia" w:eastAsiaTheme="minorEastAsia" w:cstheme="minorEastAsia"/>
          <w:color w:val="auto"/>
          <w:sz w:val="24"/>
          <w:szCs w:val="21"/>
          <w:highlight w:val="none"/>
          <w:u w:val="single"/>
          <w:lang w:val="en-US" w:eastAsia="zh-CN"/>
        </w:rPr>
        <w:t xml:space="preserve">   </w:t>
      </w:r>
      <w:r>
        <w:rPr>
          <w:rFonts w:hint="eastAsia" w:asciiTheme="minorEastAsia" w:hAnsiTheme="minorEastAsia" w:eastAsiaTheme="minorEastAsia" w:cstheme="minorEastAsia"/>
          <w:color w:val="auto"/>
          <w:sz w:val="24"/>
          <w:szCs w:val="21"/>
          <w:highlight w:val="none"/>
        </w:rPr>
        <w:t>年</w:t>
      </w:r>
      <w:r>
        <w:rPr>
          <w:rFonts w:hint="eastAsia" w:asciiTheme="minorEastAsia" w:hAnsiTheme="minorEastAsia" w:eastAsiaTheme="minorEastAsia" w:cstheme="minorEastAsia"/>
          <w:color w:val="auto"/>
          <w:sz w:val="24"/>
          <w:szCs w:val="21"/>
          <w:highlight w:val="none"/>
          <w:u w:val="single"/>
          <w:lang w:val="en-US" w:eastAsia="zh-CN"/>
        </w:rPr>
        <w:t xml:space="preserve">   </w:t>
      </w:r>
      <w:r>
        <w:rPr>
          <w:rFonts w:hint="eastAsia" w:asciiTheme="minorEastAsia" w:hAnsiTheme="minorEastAsia" w:eastAsiaTheme="minorEastAsia" w:cstheme="minorEastAsia"/>
          <w:color w:val="auto"/>
          <w:sz w:val="24"/>
          <w:szCs w:val="21"/>
          <w:highlight w:val="none"/>
        </w:rPr>
        <w:t>月</w:t>
      </w:r>
      <w:r>
        <w:rPr>
          <w:rFonts w:hint="eastAsia" w:asciiTheme="minorEastAsia" w:hAnsiTheme="minorEastAsia" w:eastAsiaTheme="minorEastAsia" w:cstheme="minorEastAsia"/>
          <w:color w:val="auto"/>
          <w:sz w:val="24"/>
          <w:szCs w:val="21"/>
          <w:highlight w:val="none"/>
          <w:u w:val="single"/>
          <w:lang w:val="en-US" w:eastAsia="zh-CN"/>
        </w:rPr>
        <w:t xml:space="preserve">   </w:t>
      </w:r>
      <w:r>
        <w:rPr>
          <w:rFonts w:hint="eastAsia" w:asciiTheme="minorEastAsia" w:hAnsiTheme="minorEastAsia" w:eastAsiaTheme="minorEastAsia" w:cstheme="minorEastAsia"/>
          <w:color w:val="auto"/>
          <w:sz w:val="24"/>
          <w:szCs w:val="21"/>
          <w:highlight w:val="none"/>
        </w:rPr>
        <w:t>日签发的中标通知书，根据采购文件、供方的投标等文件，供需双方经协商一致，达成以下合同条款：</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一、本合同名称</w:t>
      </w:r>
      <w:r>
        <w:rPr>
          <w:rFonts w:hint="eastAsia" w:asciiTheme="minorEastAsia" w:hAnsiTheme="minorEastAsia" w:eastAsiaTheme="minorEastAsia" w:cstheme="minorEastAsia"/>
          <w:color w:val="auto"/>
          <w:sz w:val="24"/>
          <w:szCs w:val="21"/>
          <w:highlight w:val="none"/>
          <w:lang w:val="zh-CN"/>
        </w:rPr>
        <w:t>：</w:t>
      </w:r>
      <w:r>
        <w:rPr>
          <w:rFonts w:hint="eastAsia" w:asciiTheme="minorEastAsia" w:hAnsiTheme="minorEastAsia" w:eastAsiaTheme="minorEastAsia" w:cstheme="minorEastAsia"/>
          <w:color w:val="auto"/>
          <w:sz w:val="24"/>
          <w:szCs w:val="21"/>
          <w:highlight w:val="none"/>
          <w:u w:val="single"/>
          <w:lang w:val="en-US" w:eastAsia="zh-CN"/>
        </w:rPr>
        <w:t xml:space="preserve">                           </w:t>
      </w:r>
      <w:r>
        <w:rPr>
          <w:rFonts w:hint="eastAsia" w:asciiTheme="minorEastAsia" w:hAnsiTheme="minorEastAsia" w:eastAsiaTheme="minorEastAsia" w:cstheme="minorEastAsia"/>
          <w:color w:val="auto"/>
          <w:sz w:val="24"/>
          <w:szCs w:val="21"/>
          <w:highlight w:val="none"/>
          <w:lang w:val="en-US" w:eastAsia="zh-CN"/>
        </w:rPr>
        <w:t xml:space="preserve"> </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lang w:val="zh-CN"/>
        </w:rPr>
        <w:t>二、</w:t>
      </w:r>
      <w:r>
        <w:rPr>
          <w:rFonts w:hint="eastAsia" w:asciiTheme="minorEastAsia" w:hAnsiTheme="minorEastAsia" w:eastAsiaTheme="minorEastAsia" w:cstheme="minorEastAsia"/>
          <w:b/>
          <w:color w:val="auto"/>
          <w:sz w:val="24"/>
          <w:szCs w:val="21"/>
          <w:highlight w:val="none"/>
        </w:rPr>
        <w:t>合同金额</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1、根据上述合同文件要求，合同的总金额为人民币：</w:t>
      </w:r>
      <w:r>
        <w:rPr>
          <w:rFonts w:hint="eastAsia" w:asciiTheme="minorEastAsia" w:hAnsiTheme="minorEastAsia" w:eastAsiaTheme="minorEastAsia" w:cstheme="minorEastAsia"/>
          <w:color w:val="auto"/>
          <w:sz w:val="24"/>
          <w:szCs w:val="21"/>
          <w:highlight w:val="none"/>
          <w:lang w:eastAsia="zh-CN"/>
        </w:rPr>
        <w:t>（小写）</w:t>
      </w:r>
      <w:r>
        <w:rPr>
          <w:rFonts w:hint="eastAsia" w:asciiTheme="minorEastAsia" w:hAnsiTheme="minorEastAsia" w:eastAsiaTheme="minorEastAsia" w:cstheme="minorEastAsia"/>
          <w:color w:val="auto"/>
          <w:sz w:val="24"/>
          <w:szCs w:val="21"/>
          <w:highlight w:val="none"/>
        </w:rPr>
        <w:t>___________元 (大写)___________元，分项价格详见</w:t>
      </w:r>
      <w:r>
        <w:rPr>
          <w:rFonts w:hint="eastAsia" w:asciiTheme="minorEastAsia" w:hAnsiTheme="minorEastAsia" w:eastAsiaTheme="minorEastAsia" w:cstheme="minorEastAsia"/>
          <w:color w:val="auto"/>
          <w:sz w:val="24"/>
          <w:szCs w:val="21"/>
          <w:highlight w:val="none"/>
          <w:u w:val="single"/>
        </w:rPr>
        <w:t>合同货物清单</w:t>
      </w:r>
      <w:r>
        <w:rPr>
          <w:rFonts w:hint="eastAsia" w:asciiTheme="minorEastAsia" w:hAnsiTheme="minorEastAsia" w:eastAsiaTheme="minorEastAsia" w:cstheme="minorEastAsia"/>
          <w:color w:val="auto"/>
          <w:sz w:val="24"/>
          <w:szCs w:val="21"/>
          <w:highlight w:val="none"/>
        </w:rPr>
        <w:t>。</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三、质量要求及供方对质量负责条件和期限</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hint="eastAsia"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lang w:val="zh-CN"/>
        </w:rPr>
        <w:t>供方应提供全新设备，产品质量达到国家标准要求</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lang w:val="zh-CN"/>
        </w:rPr>
        <w:t>需方对产品有异议的应在收到货物后5日内以书面形式向供方提出。</w:t>
      </w:r>
    </w:p>
    <w:p>
      <w:pPr>
        <w:tabs>
          <w:tab w:val="left" w:pos="360"/>
        </w:tabs>
        <w:spacing w:line="500" w:lineRule="exact"/>
        <w:ind w:firstLine="410" w:firstLineChars="171"/>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四、售后服务计划</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asciiTheme="minorEastAsia" w:hAnsiTheme="minorEastAsia" w:eastAsiaTheme="minorEastAsia" w:cstheme="minorEastAsia"/>
          <w:color w:val="auto"/>
          <w:sz w:val="24"/>
          <w:szCs w:val="21"/>
          <w:highlight w:val="none"/>
          <w:u w:val="single"/>
          <w:lang w:val="zh-CN"/>
        </w:rPr>
      </w:pPr>
    </w:p>
    <w:p>
      <w:pPr>
        <w:spacing w:line="500" w:lineRule="exact"/>
        <w:rPr>
          <w:rFonts w:asciiTheme="minorEastAsia" w:hAnsiTheme="minorEastAsia" w:eastAsiaTheme="minorEastAsia" w:cstheme="minorEastAsia"/>
          <w:color w:val="auto"/>
          <w:sz w:val="24"/>
          <w:szCs w:val="21"/>
          <w:highlight w:val="none"/>
          <w:u w:val="single"/>
          <w:lang w:val="zh-CN"/>
        </w:rPr>
      </w:pP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五、合同履行地点及进度</w:t>
      </w:r>
      <w:r>
        <w:rPr>
          <w:rFonts w:hint="eastAsia" w:asciiTheme="minorEastAsia" w:hAnsiTheme="minorEastAsia" w:eastAsiaTheme="minorEastAsia" w:cstheme="minorEastAsia"/>
          <w:color w:val="auto"/>
          <w:sz w:val="24"/>
          <w:szCs w:val="21"/>
          <w:highlight w:val="none"/>
          <w:lang w:val="zh-CN"/>
        </w:rPr>
        <w:t>：</w:t>
      </w:r>
      <w:r>
        <w:rPr>
          <w:rFonts w:hint="eastAsia" w:asciiTheme="minorEastAsia" w:hAnsiTheme="minorEastAsia" w:eastAsiaTheme="minorEastAsia" w:cstheme="minorEastAsia"/>
          <w:color w:val="auto"/>
          <w:sz w:val="24"/>
          <w:szCs w:val="21"/>
          <w:highlight w:val="none"/>
          <w:u w:val="single"/>
          <w:lang w:val="zh-CN"/>
        </w:rPr>
        <w:t xml:space="preserve">   </w:t>
      </w:r>
      <w:r>
        <w:rPr>
          <w:rFonts w:hint="eastAsia" w:asciiTheme="minorEastAsia" w:hAnsiTheme="minorEastAsia" w:eastAsiaTheme="minorEastAsia" w:cstheme="minorEastAsia"/>
          <w:color w:val="auto"/>
          <w:sz w:val="24"/>
          <w:szCs w:val="21"/>
          <w:highlight w:val="none"/>
          <w:lang w:val="zh-CN"/>
        </w:rPr>
        <w:t>年</w:t>
      </w:r>
      <w:r>
        <w:rPr>
          <w:rFonts w:hint="eastAsia" w:asciiTheme="minorEastAsia" w:hAnsiTheme="minorEastAsia" w:eastAsiaTheme="minorEastAsia" w:cstheme="minorEastAsia"/>
          <w:color w:val="auto"/>
          <w:sz w:val="24"/>
          <w:szCs w:val="21"/>
          <w:highlight w:val="none"/>
          <w:u w:val="single"/>
          <w:lang w:val="zh-CN"/>
        </w:rPr>
        <w:t xml:space="preserve">   </w:t>
      </w:r>
      <w:r>
        <w:rPr>
          <w:rFonts w:hint="eastAsia" w:asciiTheme="minorEastAsia" w:hAnsiTheme="minorEastAsia" w:eastAsiaTheme="minorEastAsia" w:cstheme="minorEastAsia"/>
          <w:color w:val="auto"/>
          <w:sz w:val="24"/>
          <w:szCs w:val="21"/>
          <w:highlight w:val="none"/>
          <w:lang w:val="zh-CN"/>
        </w:rPr>
        <w:t>月</w:t>
      </w:r>
      <w:r>
        <w:rPr>
          <w:rFonts w:hint="eastAsia" w:asciiTheme="minorEastAsia" w:hAnsiTheme="minorEastAsia" w:eastAsiaTheme="minorEastAsia" w:cstheme="minorEastAsia"/>
          <w:color w:val="auto"/>
          <w:sz w:val="24"/>
          <w:szCs w:val="21"/>
          <w:highlight w:val="none"/>
          <w:u w:val="single"/>
          <w:lang w:val="zh-CN"/>
        </w:rPr>
        <w:t xml:space="preserve">   </w:t>
      </w:r>
      <w:r>
        <w:rPr>
          <w:rFonts w:hint="eastAsia" w:asciiTheme="minorEastAsia" w:hAnsiTheme="minorEastAsia" w:eastAsiaTheme="minorEastAsia" w:cstheme="minorEastAsia"/>
          <w:color w:val="auto"/>
          <w:sz w:val="24"/>
          <w:szCs w:val="21"/>
          <w:highlight w:val="none"/>
          <w:lang w:val="zh-CN"/>
        </w:rPr>
        <w:t>日前</w:t>
      </w:r>
      <w:r>
        <w:rPr>
          <w:rFonts w:hint="eastAsia" w:asciiTheme="minorEastAsia" w:hAnsiTheme="minorEastAsia" w:eastAsiaTheme="minorEastAsia" w:cstheme="minorEastAsia"/>
          <w:color w:val="auto"/>
          <w:sz w:val="24"/>
          <w:szCs w:val="21"/>
          <w:highlight w:val="none"/>
        </w:rPr>
        <w:t>，实行一次性采购供货。</w:t>
      </w:r>
      <w:r>
        <w:rPr>
          <w:rFonts w:hint="eastAsia" w:asciiTheme="minorEastAsia" w:hAnsiTheme="minorEastAsia" w:eastAsiaTheme="minorEastAsia" w:cstheme="minorEastAsia"/>
          <w:color w:val="auto"/>
          <w:sz w:val="24"/>
          <w:szCs w:val="21"/>
          <w:highlight w:val="none"/>
          <w:lang w:val="zh-CN"/>
        </w:rPr>
        <w:t>供方应按需方要求在</w:t>
      </w:r>
      <w:r>
        <w:rPr>
          <w:rFonts w:hint="eastAsia" w:asciiTheme="minorEastAsia" w:hAnsiTheme="minorEastAsia" w:eastAsiaTheme="minorEastAsia" w:cstheme="minorEastAsia"/>
          <w:color w:val="auto"/>
          <w:sz w:val="24"/>
          <w:szCs w:val="21"/>
          <w:highlight w:val="none"/>
          <w:u w:val="single"/>
          <w:lang w:val="zh-CN"/>
        </w:rPr>
        <w:t>（需方指定的地点）</w:t>
      </w:r>
      <w:r>
        <w:rPr>
          <w:rFonts w:hint="eastAsia" w:asciiTheme="minorEastAsia" w:hAnsiTheme="minorEastAsia" w:eastAsiaTheme="minorEastAsia" w:cstheme="minorEastAsia"/>
          <w:color w:val="auto"/>
          <w:sz w:val="24"/>
          <w:szCs w:val="21"/>
          <w:highlight w:val="none"/>
          <w:lang w:val="zh-CN"/>
        </w:rPr>
        <w:t>完成货物的运送及安装调试，费用由供方负责。需方应在货物到达指定地点后，做好接收保管清点工作。</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六、供方在交付设备时应向需方提供产品的相关资料</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七、付款程序、方式及期限</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val="zh-CN"/>
        </w:rPr>
        <w:t>1、</w:t>
      </w:r>
      <w:r>
        <w:rPr>
          <w:rFonts w:hint="eastAsia" w:asciiTheme="minorEastAsia" w:hAnsiTheme="minorEastAsia" w:eastAsiaTheme="minorEastAsia" w:cstheme="minorEastAsia"/>
          <w:color w:val="auto"/>
          <w:sz w:val="24"/>
          <w:szCs w:val="21"/>
          <w:highlight w:val="none"/>
        </w:rPr>
        <w:t>货物供货入库，采购单位验收合格后凭《采购验收报告》至长垣市财政局办理资金支付手续；</w:t>
      </w:r>
    </w:p>
    <w:p>
      <w:pPr>
        <w:spacing w:line="500" w:lineRule="exact"/>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val="en-US" w:eastAsia="zh-CN"/>
        </w:rPr>
        <w:t>2、</w:t>
      </w:r>
      <w:r>
        <w:rPr>
          <w:rFonts w:hint="eastAsia" w:asciiTheme="minorEastAsia" w:hAnsiTheme="minorEastAsia" w:eastAsiaTheme="minorEastAsia" w:cstheme="minorEastAsia"/>
          <w:color w:val="auto"/>
          <w:sz w:val="24"/>
          <w:szCs w:val="21"/>
          <w:highlight w:val="none"/>
        </w:rPr>
        <w:t>免费质保期：验收合格之日起1年</w:t>
      </w:r>
    </w:p>
    <w:p>
      <w:pPr>
        <w:spacing w:line="500" w:lineRule="exact"/>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val="en-US" w:eastAsia="zh-CN"/>
        </w:rPr>
        <w:t>3</w:t>
      </w:r>
      <w:r>
        <w:rPr>
          <w:rFonts w:hint="eastAsia" w:asciiTheme="minorEastAsia" w:hAnsiTheme="minorEastAsia" w:eastAsiaTheme="minorEastAsia" w:cstheme="minorEastAsia"/>
          <w:color w:val="auto"/>
          <w:sz w:val="24"/>
          <w:szCs w:val="21"/>
          <w:highlight w:val="none"/>
        </w:rPr>
        <w:t>、付款方式：货到安装、调试</w:t>
      </w:r>
      <w:r>
        <w:rPr>
          <w:rFonts w:hint="eastAsia" w:asciiTheme="minorEastAsia" w:hAnsiTheme="minorEastAsia" w:eastAsiaTheme="minorEastAsia" w:cstheme="minorEastAsia"/>
          <w:color w:val="auto"/>
          <w:sz w:val="24"/>
          <w:szCs w:val="21"/>
          <w:highlight w:val="none"/>
          <w:lang w:eastAsia="zh-CN"/>
        </w:rPr>
        <w:t>至正常使用</w:t>
      </w:r>
      <w:r>
        <w:rPr>
          <w:rFonts w:hint="eastAsia" w:asciiTheme="minorEastAsia" w:hAnsiTheme="minorEastAsia" w:eastAsiaTheme="minorEastAsia" w:cstheme="minorEastAsia"/>
          <w:color w:val="auto"/>
          <w:sz w:val="24"/>
          <w:szCs w:val="21"/>
          <w:highlight w:val="none"/>
        </w:rPr>
        <w:t>并经验收合格后付至合同价款的100%</w:t>
      </w:r>
      <w:r>
        <w:rPr>
          <w:rFonts w:hint="eastAsia" w:asciiTheme="minorEastAsia" w:hAnsiTheme="minorEastAsia" w:eastAsiaTheme="minorEastAsia" w:cstheme="minorEastAsia"/>
          <w:color w:val="auto"/>
          <w:sz w:val="24"/>
          <w:szCs w:val="21"/>
          <w:highlight w:val="none"/>
          <w:lang w:eastAsia="zh-CN"/>
        </w:rPr>
        <w:t>，同时供应商</w:t>
      </w:r>
      <w:r>
        <w:rPr>
          <w:rFonts w:hint="eastAsia" w:asciiTheme="minorEastAsia" w:hAnsiTheme="minorEastAsia" w:eastAsiaTheme="minorEastAsia" w:cstheme="minorEastAsia"/>
          <w:color w:val="auto"/>
          <w:sz w:val="24"/>
          <w:szCs w:val="21"/>
          <w:highlight w:val="none"/>
        </w:rPr>
        <w:t>合同价款的</w:t>
      </w:r>
      <w:r>
        <w:rPr>
          <w:rFonts w:hint="eastAsia" w:asciiTheme="minorEastAsia" w:hAnsiTheme="minorEastAsia" w:eastAsiaTheme="minorEastAsia" w:cstheme="minorEastAsia"/>
          <w:color w:val="auto"/>
          <w:sz w:val="24"/>
          <w:szCs w:val="21"/>
          <w:highlight w:val="none"/>
          <w:lang w:val="en-US" w:eastAsia="zh-CN"/>
        </w:rPr>
        <w:t>3</w:t>
      </w:r>
      <w:r>
        <w:rPr>
          <w:rFonts w:hint="eastAsia" w:asciiTheme="minorEastAsia" w:hAnsiTheme="minorEastAsia" w:eastAsiaTheme="minorEastAsia" w:cstheme="minorEastAsia"/>
          <w:color w:val="auto"/>
          <w:sz w:val="24"/>
          <w:szCs w:val="21"/>
          <w:highlight w:val="none"/>
        </w:rPr>
        <w:t>%</w:t>
      </w:r>
      <w:r>
        <w:rPr>
          <w:rFonts w:hint="eastAsia" w:asciiTheme="minorEastAsia" w:hAnsiTheme="minorEastAsia" w:eastAsiaTheme="minorEastAsia" w:cstheme="minorEastAsia"/>
          <w:color w:val="auto"/>
          <w:sz w:val="24"/>
          <w:szCs w:val="21"/>
          <w:highlight w:val="none"/>
          <w:lang w:eastAsia="zh-CN"/>
        </w:rPr>
        <w:t>作为质保，以银行保函或担保的形式提交</w:t>
      </w:r>
      <w:r>
        <w:rPr>
          <w:rFonts w:hint="eastAsia" w:asciiTheme="minorEastAsia" w:hAnsiTheme="minorEastAsia" w:eastAsiaTheme="minorEastAsia" w:cstheme="minorEastAsia"/>
          <w:color w:val="auto"/>
          <w:sz w:val="24"/>
          <w:szCs w:val="21"/>
          <w:highlight w:val="none"/>
        </w:rPr>
        <w:t>。</w:t>
      </w:r>
    </w:p>
    <w:p>
      <w:pPr>
        <w:spacing w:line="500" w:lineRule="exact"/>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val="en-US" w:eastAsia="zh-CN"/>
        </w:rPr>
        <w:t>4</w:t>
      </w:r>
      <w:r>
        <w:rPr>
          <w:rFonts w:hint="eastAsia" w:asciiTheme="minorEastAsia" w:hAnsiTheme="minorEastAsia" w:eastAsiaTheme="minorEastAsia" w:cstheme="minorEastAsia"/>
          <w:color w:val="auto"/>
          <w:sz w:val="24"/>
          <w:szCs w:val="21"/>
          <w:highlight w:val="none"/>
        </w:rPr>
        <w:t>、供方开具以需方单位名</w:t>
      </w:r>
      <w:r>
        <w:rPr>
          <w:rFonts w:hint="eastAsia" w:asciiTheme="minorEastAsia" w:hAnsiTheme="minorEastAsia" w:eastAsiaTheme="minorEastAsia" w:cstheme="minorEastAsia"/>
          <w:color w:val="auto"/>
          <w:sz w:val="24"/>
          <w:szCs w:val="21"/>
          <w:highlight w:val="none"/>
          <w:lang w:val="zh-CN"/>
        </w:rPr>
        <w:t>称为抬头的发票。</w:t>
      </w:r>
    </w:p>
    <w:p>
      <w:pPr>
        <w:spacing w:line="500" w:lineRule="exact"/>
        <w:ind w:firstLine="480" w:firstLineChars="200"/>
        <w:rPr>
          <w:rFonts w:asciiTheme="minorEastAsia" w:hAnsiTheme="minorEastAsia" w:eastAsiaTheme="minorEastAsia" w:cstheme="minorEastAsia"/>
          <w:b/>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八、违约责任</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rPr>
        <w:t>8</w:t>
      </w:r>
      <w:r>
        <w:rPr>
          <w:rFonts w:hint="eastAsia" w:asciiTheme="minorEastAsia" w:hAnsiTheme="minorEastAsia" w:eastAsiaTheme="minorEastAsia" w:cstheme="minorEastAsia"/>
          <w:color w:val="auto"/>
          <w:sz w:val="24"/>
          <w:szCs w:val="21"/>
          <w:highlight w:val="none"/>
          <w:lang w:val="zh-CN"/>
        </w:rPr>
        <w:t>.1 需方无正当理由拒收货物的，需方向供方偿付拒收货款总值的万分之五违约金。</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rPr>
        <w:t>8</w:t>
      </w:r>
      <w:r>
        <w:rPr>
          <w:rFonts w:hint="eastAsia" w:asciiTheme="minorEastAsia" w:hAnsiTheme="minorEastAsia" w:eastAsiaTheme="minorEastAsia" w:cstheme="minorEastAsia"/>
          <w:color w:val="auto"/>
          <w:sz w:val="24"/>
          <w:szCs w:val="21"/>
          <w:highlight w:val="none"/>
          <w:lang w:val="zh-CN"/>
        </w:rPr>
        <w:t>.2 需方无故逾期验收和办理货款支付手续的,甲方按逾期付款总额每日万分之五向乙方支付违约金。</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rPr>
        <w:t>8</w:t>
      </w:r>
      <w:r>
        <w:rPr>
          <w:rFonts w:hint="eastAsia" w:asciiTheme="minorEastAsia" w:hAnsiTheme="minorEastAsia" w:eastAsiaTheme="minorEastAsia" w:cstheme="minorEastAsia"/>
          <w:color w:val="auto"/>
          <w:sz w:val="24"/>
          <w:szCs w:val="21"/>
          <w:highlight w:val="none"/>
          <w:lang w:val="zh-CN"/>
        </w:rPr>
        <w:t>.3 供方逾期交付货物的，乙方按逾期交货总额每日百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pPr>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九、履约验收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验收目的：履约验收是采购人按照采购合同的约定，对采购项目供应商进行采购合同履约情况检验和评估的活动。验收通过标志着采购项目实施阶段的结束，采购项目进入运行阶段，供应商仍需按照采购合同的约定例行质量保证义务。</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（2）验收对象：供应商对采购项目的采购合同履约情况。</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（3）验收前提条件：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①供应商已按照采购合同约定履约采购项目实施阶段义务，采购项目按照采购合同要求全部建成，并满足使用要求。</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②符合采购合同约定的其他验收条件。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（4）验收方式：</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sym w:font="Wingdings" w:char="00A8"/>
      </w:r>
      <w:r>
        <w:rPr>
          <w:rFonts w:hint="eastAsia" w:asciiTheme="minorEastAsia" w:hAnsiTheme="minorEastAsia" w:eastAsiaTheme="minorEastAsia" w:cstheme="minorEastAsia"/>
          <w:color w:val="auto"/>
          <w:sz w:val="24"/>
          <w:szCs w:val="21"/>
          <w:highlight w:val="none"/>
        </w:rPr>
        <w:t xml:space="preserve">采购人自行组织验收   </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sym w:font="Wingdings" w:char="00A8"/>
      </w:r>
      <w:r>
        <w:rPr>
          <w:rFonts w:hint="eastAsia" w:asciiTheme="minorEastAsia" w:hAnsiTheme="minorEastAsia" w:eastAsiaTheme="minorEastAsia" w:cstheme="minorEastAsia"/>
          <w:color w:val="auto"/>
          <w:sz w:val="24"/>
          <w:szCs w:val="21"/>
          <w:highlight w:val="none"/>
        </w:rPr>
        <w:t xml:space="preserve">采购人委托采购代理机构组织验收 </w:t>
      </w:r>
    </w:p>
    <w:p>
      <w:pPr>
        <w:spacing w:line="500" w:lineRule="exact"/>
        <w:ind w:firstLine="480" w:firstLineChars="200"/>
        <w:rPr>
          <w:rFonts w:eastAsia="宋体"/>
          <w:color w:val="auto"/>
          <w:sz w:val="28"/>
          <w:szCs w:val="28"/>
          <w:highlight w:val="none"/>
        </w:rPr>
      </w:pPr>
      <w:r>
        <w:rPr>
          <w:rFonts w:hint="eastAsia" w:asciiTheme="minorEastAsia" w:hAnsiTheme="minorEastAsia" w:eastAsiaTheme="minorEastAsia" w:cstheme="minorEastAsia"/>
          <w:color w:val="auto"/>
          <w:sz w:val="24"/>
          <w:szCs w:val="21"/>
          <w:highlight w:val="none"/>
        </w:rPr>
        <w:sym w:font="Wingdings" w:char="00FE"/>
      </w:r>
      <w:r>
        <w:rPr>
          <w:rFonts w:hint="eastAsia" w:asciiTheme="minorEastAsia" w:hAnsiTheme="minorEastAsia" w:eastAsiaTheme="minorEastAsia" w:cstheme="minorEastAsia"/>
          <w:color w:val="auto"/>
          <w:sz w:val="24"/>
          <w:szCs w:val="21"/>
          <w:highlight w:val="none"/>
        </w:rPr>
        <w:t>采购人全部或部分委托第三方检测机构验收。采购人部分委托第三方检测机构验收的，其他部分采购人可自行组织验收或委托采购代理机构组织验收。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（5）验收步骤：</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5.1 成立项目验收小组，具体负责验收事宜。采购人、采购代理机构可以邀请参加本项目的其他供应商或第三方专业机构及专家参与验收。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5.2编写验收计划。由供应商编写验收计划的，应提交采购人审定。</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5.3采购项目验收的实施。严格按照验收方案进行验收，并按照采购合同的约定对每一项技术、服务、安全标准的履约情况进行确认。采购项目中需要进行质量检测的，应使用专用质量检测工具检测或委托第三方检测机构检测。</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5.4提交验收报告。采购项目验收完毕，应当出具验收书，列明各项标准的验收情况及项目总体评价，由验收双方共同签署。</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5.5履约验收的各项资料都应当存档备查。</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rPr>
        <w:t>（6）验收程序</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6.1开箱检验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6.1.1在开箱检验中，如发现合同设备的短缺、损坏或其他与合同约定不符的情形，供应商应采取补齐、更换及其他补救措施直至开箱验检验合格。</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6.1.2如合同条款约定由第三方检测机构对合同设备进行开箱检验或在开箱检验过程中另行约定由第三方检验的，则第三方检测机构的检验结果对采购人和供应商均具有约束力。</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6.1.3开箱检验结束后，验收双方应共同签署开箱检验验收书，开箱检验验收书应列明合同设备数量、文档资料、外观等开箱检验的验收情况及评价意见。</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6.2设备安装</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在设备到场后，项目经理部将派专人进行设备性能测试。按技术规范要求，对各项设备作安装前测试，测试合格后进入现场安装，考虑到气候因素及各项相关工程可能的交叉施工影响，为保证本系统关键实施阶段的质量与进度，施工方将对工作界面采取灵活适应的施工方式，条件具备一处，抓紧实施一处，在取得业主和协同单位的积极配合下协调运作，确保设施、设备按期安装完毕，使其具备技术验收的状态，采购人和供应商应对合同设备的安装情况共同及时进行记录。</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6.3系统调试与开通</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各子系统的调试将紧跟设备安装进行，成熟一项完成一项，设备调试与软件调试顺序进行。各子系统相对独立开通后，进入系统联调。根据本工程具体情况，对本系统实施计划适当留有余地，以应付施工中的不可预见的影响。采购人和供应商应对合同设备的系统调试与开通情况共同及时进行记录。</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6.4技术验收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6.4.1合同设备在安装调试完成后，采购人按照采购合同规定的技术、服务、安全标准对供应商的履约情况进行技术验收。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6.4.2合同设备再进行技术验收时，不符合采购合同规定的技术服务、安全标准，供应商应在双方同意的期限内采取措施消除合同设备中存在的缺陷，并在缺陷消除以后再次进行技术验收直至符合采购活动规定。</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6.4.3合同设备不符合采购合同规定，技术验收不合格的，采购人和供应商应就采购合同的后续履行进行协商，协商不成的，采购人有权解除合同。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6.4.4如合同条款约定由第三方检测机构对合同设备进行技术验收或在技术验收过程中另行约定由第三方检验的，则第三方检测机构的检验结果对采购人和供应商均具有约束力。</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6.4.5技术验收结束后，验收双方应共同签署技术验收书，技术验收书应列明合同设备技术、服务、安全标准等技术验收的验收情况及项目总体评价意见。</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6.5培训</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在系统正式开通前，供应商将委派专门的培训工程师对采购人的管理人员、技术人员、操作人员提供培训，以保证工程验收移交后，采购人能够胜任系统的全部运行管理、线路维护、故障处理、设备维修和保养等工作。</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6.6试运行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项目完工后到开通运行将对系统进行进一步的观察、测试、检查，弥补系统的缺陷，完善系统的功能，从而达到圆满的结果，以确保与土建同步完成的最佳效果。</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（7）验收依据</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法律法规、标准规范以及采购项目的采购合同所指定的所有文件、报告。</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（8）验收需提交的资料</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采购项目交付及组织实施过程中产生的全部资料，包括，</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8.1验收标准；</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8.2技术说明书；</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8.3使用说明书；</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8.4安装维修及操作手册；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8.5采购活动中要求的其他文件资料，包括采购项目实施过程的实施记录；</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8.6采购项目阶段验收报告。</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上述资料如涉及国家秘密、商业秘密的，双方应签订保密协议；参与验收的相关人员，对参与验收知悉的国家秘密、商业秘密负有保密义务，并提供承诺书。</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（9）验收结论</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验收结果分为验收合格和验收不合格两种。</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9.1符合采购合同要求的，验收合格。验收结论为验收合格的，则可进行项目交接；如有需补充问题，则在补充问题响应完成后进行项目交接。</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9.2未达到采购合同约定的技术、服务、安全标准的，按验收不合格处理。验收结论为验收不合格的，则供应商必须限期整改，整改后符合验收标准的，重新申请验收。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（10）项目交接</w:t>
      </w:r>
    </w:p>
    <w:p>
      <w:pPr>
        <w:spacing w:line="500" w:lineRule="exact"/>
        <w:ind w:firstLine="480" w:firstLineChars="200"/>
        <w:rPr>
          <w:color w:val="auto"/>
          <w:highlight w:val="none"/>
          <w:lang w:val="zh-CN"/>
        </w:rPr>
      </w:pPr>
      <w:r>
        <w:rPr>
          <w:rFonts w:hint="eastAsia" w:asciiTheme="minorEastAsia" w:hAnsiTheme="minorEastAsia" w:eastAsiaTheme="minorEastAsia" w:cstheme="minorEastAsia"/>
          <w:color w:val="auto"/>
          <w:sz w:val="24"/>
          <w:szCs w:val="21"/>
          <w:highlight w:val="none"/>
        </w:rPr>
        <w:t>项目验收合格后，应办理项目交接手续，转入售后服务阶段。</w:t>
      </w:r>
    </w:p>
    <w:p>
      <w:pPr>
        <w:tabs>
          <w:tab w:val="left" w:pos="360"/>
        </w:tabs>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lang w:val="zh-CN"/>
        </w:rPr>
        <w:t>十、因产品的质量问题发生争议，由法定的技术鉴定部门进行质量鉴定。</w:t>
      </w:r>
      <w:r>
        <w:rPr>
          <w:rFonts w:hint="eastAsia" w:asciiTheme="minorEastAsia" w:hAnsiTheme="minorEastAsia" w:eastAsiaTheme="minorEastAsia" w:cstheme="minorEastAsia"/>
          <w:b/>
          <w:color w:val="auto"/>
          <w:sz w:val="24"/>
          <w:szCs w:val="21"/>
          <w:highlight w:val="none"/>
        </w:rPr>
        <w:t>该鉴定结论是终局的，供需双方均应当接受。</w:t>
      </w:r>
    </w:p>
    <w:p>
      <w:pPr>
        <w:spacing w:line="500" w:lineRule="exact"/>
        <w:ind w:firstLine="480" w:firstLineChars="200"/>
        <w:rPr>
          <w:rFonts w:asciiTheme="minorEastAsia" w:hAnsiTheme="minorEastAsia" w:eastAsiaTheme="minorEastAsia" w:cstheme="minorEastAsia"/>
          <w:b/>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十一、投标文件及其修改和澄清，供方在投标中的有关承诺及声明均为本合同的组成部分。</w:t>
      </w:r>
    </w:p>
    <w:p>
      <w:pPr>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lang w:val="zh-CN"/>
        </w:rPr>
        <w:t>十二、</w:t>
      </w:r>
      <w:r>
        <w:rPr>
          <w:rFonts w:hint="eastAsia" w:asciiTheme="minorEastAsia" w:hAnsiTheme="minorEastAsia" w:eastAsiaTheme="minorEastAsia" w:cstheme="minorEastAsia"/>
          <w:b/>
          <w:color w:val="auto"/>
          <w:sz w:val="24"/>
          <w:szCs w:val="21"/>
          <w:highlight w:val="none"/>
        </w:rPr>
        <w:t>本合同发生争议产生的诉讼，由</w:t>
      </w:r>
      <w:r>
        <w:rPr>
          <w:rFonts w:hint="eastAsia" w:asciiTheme="minorEastAsia" w:hAnsiTheme="minorEastAsia" w:eastAsiaTheme="minorEastAsia" w:cstheme="minorEastAsia"/>
          <w:b/>
          <w:color w:val="auto"/>
          <w:sz w:val="24"/>
          <w:szCs w:val="21"/>
          <w:highlight w:val="none"/>
          <w:lang w:eastAsia="zh-CN"/>
        </w:rPr>
        <w:t>项目</w:t>
      </w:r>
      <w:r>
        <w:rPr>
          <w:rFonts w:hint="eastAsia" w:asciiTheme="minorEastAsia" w:hAnsiTheme="minorEastAsia" w:eastAsiaTheme="minorEastAsia" w:cstheme="minorEastAsia"/>
          <w:b/>
          <w:color w:val="auto"/>
          <w:sz w:val="24"/>
          <w:szCs w:val="21"/>
          <w:highlight w:val="none"/>
        </w:rPr>
        <w:t>所在地人民法院管辖。</w:t>
      </w:r>
    </w:p>
    <w:p>
      <w:pPr>
        <w:spacing w:line="500" w:lineRule="exact"/>
        <w:ind w:firstLine="480" w:firstLineChars="200"/>
        <w:rPr>
          <w:rFonts w:asciiTheme="minorEastAsia" w:hAnsiTheme="minorEastAsia" w:eastAsiaTheme="minorEastAsia" w:cstheme="minorEastAsia"/>
          <w:b/>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十三、本合同未尽事宜，供需双方可签订补充协议，与本合同具有同等法律效力，但不能违反采购文件及供方的投标或报价文件所规定的实质性条款。</w:t>
      </w:r>
    </w:p>
    <w:p>
      <w:pPr>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十四、合同生效及其它</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本合同经双方代表签字并加盖公章后生效。需方应在合同签订后三日内备案。本合同一式</w:t>
      </w:r>
      <w:r>
        <w:rPr>
          <w:rFonts w:hint="eastAsia" w:asciiTheme="minorEastAsia" w:hAnsiTheme="minorEastAsia" w:eastAsiaTheme="minorEastAsia" w:cstheme="minorEastAsia"/>
          <w:color w:val="auto"/>
          <w:sz w:val="24"/>
          <w:szCs w:val="21"/>
          <w:highlight w:val="none"/>
          <w:lang w:eastAsia="zh-CN"/>
        </w:rPr>
        <w:t>肆</w:t>
      </w:r>
      <w:r>
        <w:rPr>
          <w:rFonts w:hint="eastAsia" w:asciiTheme="minorEastAsia" w:hAnsiTheme="minorEastAsia" w:eastAsiaTheme="minorEastAsia" w:cstheme="minorEastAsia"/>
          <w:color w:val="auto"/>
          <w:sz w:val="24"/>
          <w:szCs w:val="21"/>
          <w:highlight w:val="none"/>
        </w:rPr>
        <w:t>份，供需双方各持两份。</w:t>
      </w:r>
    </w:p>
    <w:p>
      <w:pPr>
        <w:spacing w:line="500" w:lineRule="exact"/>
        <w:ind w:firstLine="480" w:firstLineChars="200"/>
        <w:rPr>
          <w:rFonts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lang w:eastAsia="zh-CN"/>
        </w:rPr>
        <w:t>十五、</w:t>
      </w:r>
      <w:r>
        <w:rPr>
          <w:rFonts w:hint="eastAsia" w:asciiTheme="minorEastAsia" w:hAnsiTheme="minorEastAsia" w:eastAsiaTheme="minorEastAsia" w:cstheme="minorEastAsia"/>
          <w:b/>
          <w:bCs/>
          <w:color w:val="auto"/>
          <w:sz w:val="24"/>
          <w:szCs w:val="21"/>
          <w:highlight w:val="none"/>
        </w:rPr>
        <w:t>与解决争议的方法</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因本合同或与本合同有关的一切事项发生争议，由双方友好协商解决。协商不成的，任何一方均可选择以下方式解决：</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 向</w:t>
      </w:r>
      <w:r>
        <w:rPr>
          <w:rFonts w:hint="eastAsia" w:asciiTheme="minorEastAsia" w:hAnsiTheme="minorEastAsia" w:eastAsiaTheme="minorEastAsia" w:cstheme="minorEastAsia"/>
          <w:color w:val="auto"/>
          <w:sz w:val="24"/>
          <w:szCs w:val="21"/>
          <w:highlight w:val="none"/>
          <w:u w:val="single"/>
        </w:rPr>
        <w:t xml:space="preserve">  /  </w:t>
      </w:r>
      <w:r>
        <w:rPr>
          <w:rFonts w:hint="eastAsia" w:asciiTheme="minorEastAsia" w:hAnsiTheme="minorEastAsia" w:eastAsiaTheme="minorEastAsia" w:cstheme="minorEastAsia"/>
          <w:color w:val="auto"/>
          <w:sz w:val="24"/>
          <w:szCs w:val="21"/>
          <w:highlight w:val="none"/>
        </w:rPr>
        <w:t>仲裁委员会申请仲裁。</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2 向</w:t>
      </w:r>
      <w:r>
        <w:rPr>
          <w:rFonts w:hint="eastAsia" w:asciiTheme="minorEastAsia" w:hAnsiTheme="minorEastAsia" w:eastAsiaTheme="minorEastAsia" w:cstheme="minorEastAsia"/>
          <w:color w:val="auto"/>
          <w:sz w:val="24"/>
          <w:szCs w:val="21"/>
          <w:highlight w:val="none"/>
          <w:u w:val="single"/>
        </w:rPr>
        <w:t xml:space="preserve">  项目所在地  </w:t>
      </w:r>
      <w:r>
        <w:rPr>
          <w:rFonts w:hint="eastAsia" w:asciiTheme="minorEastAsia" w:hAnsiTheme="minorEastAsia" w:eastAsiaTheme="minorEastAsia" w:cstheme="minorEastAsia"/>
          <w:color w:val="auto"/>
          <w:sz w:val="24"/>
          <w:szCs w:val="21"/>
          <w:highlight w:val="none"/>
        </w:rPr>
        <w:t>人民法院提起诉讼。</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需方：                                     供方：</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地址：                                     地址：</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法定代表人：                               法定代表人：</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委托代理人：                               委托代理人：</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电话：                                     电话：</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开户银行：                                 开户银行：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账号：                                     账号</w:t>
      </w:r>
    </w:p>
    <w:p>
      <w:pPr>
        <w:spacing w:line="500" w:lineRule="exact"/>
        <w:ind w:firstLine="5760" w:firstLineChars="24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税务登记证号：</w:t>
      </w:r>
    </w:p>
    <w:p>
      <w:pPr>
        <w:spacing w:line="500" w:lineRule="exact"/>
        <w:ind w:firstLine="5760" w:firstLineChars="24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签约时间：</w:t>
      </w:r>
    </w:p>
    <w:p>
      <w:pPr>
        <w:spacing w:line="500" w:lineRule="exact"/>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1"/>
          <w:highlight w:val="none"/>
        </w:rPr>
        <w:t>签约地址</w:t>
      </w:r>
    </w:p>
    <w:p>
      <w:pPr>
        <w:widowControl/>
        <w:jc w:val="left"/>
        <w:rPr>
          <w:color w:val="auto"/>
          <w:highlight w:val="none"/>
          <w:lang w:val="zh-CN"/>
        </w:rPr>
        <w:sectPr>
          <w:footerReference r:id="rId10" w:type="default"/>
          <w:pgSz w:w="11906" w:h="16838"/>
          <w:pgMar w:top="1134" w:right="1134" w:bottom="851" w:left="1134" w:header="964" w:footer="851" w:gutter="0"/>
          <w:pgNumType w:fmt="numberInDash" w:start="1"/>
          <w:cols w:space="720" w:num="1"/>
          <w:docGrid w:type="linesAndChars" w:linePitch="312" w:charSpace="0"/>
        </w:sectPr>
      </w:pPr>
      <w:r>
        <w:rPr>
          <w:rFonts w:ascii="宋体" w:hAnsi="宋体" w:eastAsia="宋体" w:cs="宋体"/>
          <w:b/>
          <w:bCs/>
          <w:color w:val="auto"/>
          <w:sz w:val="36"/>
          <w:szCs w:val="36"/>
          <w:highlight w:val="none"/>
          <w:lang w:val="zh-CN"/>
        </w:rPr>
        <w:br w:type="page"/>
      </w:r>
    </w:p>
    <w:p>
      <w:pPr>
        <w:numPr>
          <w:ilvl w:val="0"/>
          <w:numId w:val="0"/>
        </w:numPr>
        <w:autoSpaceDE w:val="0"/>
        <w:autoSpaceDN w:val="0"/>
        <w:adjustRightInd w:val="0"/>
        <w:spacing w:line="500" w:lineRule="exact"/>
        <w:jc w:val="center"/>
        <w:outlineLvl w:val="0"/>
        <w:rPr>
          <w:rFonts w:ascii="宋体" w:hAnsi="宋体" w:eastAsia="宋体" w:cs="宋体"/>
          <w:b/>
          <w:bCs/>
          <w:color w:val="auto"/>
          <w:sz w:val="36"/>
          <w:szCs w:val="36"/>
          <w:highlight w:val="none"/>
          <w:lang w:val="zh-CN"/>
        </w:rPr>
      </w:pPr>
      <w:bookmarkStart w:id="24" w:name="_Toc2853"/>
      <w:bookmarkStart w:id="25" w:name="_Toc29443"/>
      <w:bookmarkStart w:id="26" w:name="_Toc3115"/>
      <w:bookmarkStart w:id="27" w:name="_Toc721"/>
      <w:bookmarkStart w:id="28" w:name="_Toc26931"/>
      <w:bookmarkStart w:id="29" w:name="_Toc31526"/>
      <w:bookmarkStart w:id="30" w:name="_Toc72253192"/>
      <w:bookmarkStart w:id="31" w:name="_Toc15158"/>
      <w:bookmarkStart w:id="32" w:name="_Toc8644"/>
      <w:bookmarkStart w:id="33" w:name="_Toc21729"/>
      <w:r>
        <w:rPr>
          <w:rFonts w:hint="eastAsia" w:ascii="宋体" w:hAnsi="宋体" w:eastAsia="宋体" w:cs="宋体"/>
          <w:b/>
          <w:bCs/>
          <w:color w:val="auto"/>
          <w:sz w:val="36"/>
          <w:szCs w:val="36"/>
          <w:highlight w:val="none"/>
          <w:lang w:val="zh-CN" w:eastAsia="zh-CN"/>
        </w:rPr>
        <w:t>第五章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采购需求</w:t>
      </w:r>
      <w:bookmarkEnd w:id="24"/>
      <w:bookmarkEnd w:id="25"/>
      <w:bookmarkEnd w:id="26"/>
      <w:bookmarkEnd w:id="27"/>
      <w:bookmarkEnd w:id="28"/>
    </w:p>
    <w:p>
      <w:pPr>
        <w:jc w:val="center"/>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A包</w:t>
      </w:r>
    </w:p>
    <w:p>
      <w:pPr>
        <w:jc w:val="both"/>
        <w:rPr>
          <w:rFonts w:hint="eastAsia"/>
          <w:b/>
          <w:bCs/>
          <w:color w:val="auto"/>
          <w:sz w:val="24"/>
          <w:szCs w:val="32"/>
          <w:highlight w:val="none"/>
          <w:lang w:val="en-US" w:eastAsia="zh-CN"/>
        </w:rPr>
      </w:pPr>
    </w:p>
    <w:tbl>
      <w:tblPr>
        <w:tblStyle w:val="28"/>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2366"/>
        <w:gridCol w:w="5330"/>
        <w:gridCol w:w="551"/>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1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装饰装修实训室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1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1、装饰装修体验中心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整体改造施工</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隔墙施工、整体装修、地面处理等</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1.原有教室隔断拆除，垃圾、设备搬运，地面墙面处理（大于100平方）；</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2.利用一间教室，</w:t>
            </w:r>
            <w:r>
              <w:rPr>
                <w:rStyle w:val="116"/>
                <w:color w:val="auto"/>
                <w:highlight w:val="none"/>
                <w:lang w:val="en-US" w:eastAsia="zh-CN" w:bidi="ar"/>
              </w:rPr>
              <w:t>搭设至少一室一厅一厨一卫家装布局，包含水电暖厨卫节点；</w:t>
            </w:r>
            <w:r>
              <w:rPr>
                <w:rStyle w:val="116"/>
                <w:color w:val="auto"/>
                <w:highlight w:val="none"/>
                <w:lang w:val="en-US" w:eastAsia="zh-CN" w:bidi="ar"/>
              </w:rPr>
              <w:br w:type="textWrapping"/>
            </w:r>
            <w:r>
              <w:rPr>
                <w:rStyle w:val="116"/>
                <w:color w:val="auto"/>
                <w:highlight w:val="none"/>
                <w:lang w:val="en-US" w:eastAsia="zh-CN" w:bidi="ar"/>
              </w:rPr>
              <w:t>3.灯线改造；地面切槽、灯线布置、开关插座移位、设备电源；</w:t>
            </w:r>
            <w:r>
              <w:rPr>
                <w:rStyle w:val="116"/>
                <w:color w:val="auto"/>
                <w:highlight w:val="none"/>
                <w:lang w:val="en-US" w:eastAsia="zh-CN" w:bidi="ar"/>
              </w:rPr>
              <w:br w:type="textWrapping"/>
            </w:r>
            <w:r>
              <w:rPr>
                <w:rStyle w:val="116"/>
                <w:color w:val="auto"/>
                <w:highlight w:val="none"/>
                <w:lang w:val="en-US" w:eastAsia="zh-CN" w:bidi="ar"/>
              </w:rPr>
              <w:t>4.灯光及照明系统，满足教室需求；</w:t>
            </w:r>
            <w:r>
              <w:rPr>
                <w:rStyle w:val="116"/>
                <w:color w:val="auto"/>
                <w:highlight w:val="none"/>
                <w:lang w:val="en-US" w:eastAsia="zh-CN" w:bidi="ar"/>
              </w:rPr>
              <w:br w:type="textWrapping"/>
            </w:r>
            <w:r>
              <w:rPr>
                <w:rStyle w:val="116"/>
                <w:color w:val="auto"/>
                <w:highlight w:val="none"/>
                <w:lang w:val="en-US" w:eastAsia="zh-CN" w:bidi="ar"/>
              </w:rPr>
              <w:t>5.按照家庭标配新风系统，且能给学生展示。</w:t>
            </w:r>
            <w:r>
              <w:rPr>
                <w:rStyle w:val="116"/>
                <w:color w:val="auto"/>
                <w:highlight w:val="none"/>
                <w:lang w:val="en-US" w:eastAsia="zh-CN" w:bidi="ar"/>
              </w:rPr>
              <w:br w:type="textWrapping"/>
            </w:r>
            <w:r>
              <w:rPr>
                <w:rStyle w:val="116"/>
                <w:color w:val="auto"/>
                <w:highlight w:val="none"/>
                <w:lang w:val="en-US" w:eastAsia="zh-CN" w:bidi="ar"/>
              </w:rPr>
              <w:t>6.配置智能家居系统，控制窗帘，灯光等。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配套家具家电</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家具、电视、强弱电安装</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包含床、橱柜、电视机、强弱电安装布线和切割墙体</w:t>
            </w:r>
            <w:r>
              <w:rPr>
                <w:rStyle w:val="116"/>
                <w:color w:val="auto"/>
                <w:highlight w:val="none"/>
                <w:lang w:val="en-US" w:eastAsia="zh-CN" w:bidi="ar"/>
              </w:rPr>
              <w:t>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节点标牌</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16"/>
                <w:rFonts w:ascii="宋体" w:hAnsi="宋体" w:eastAsia="宋体" w:cs="宋体"/>
                <w:color w:val="auto"/>
                <w:highlight w:val="none"/>
                <w:lang w:val="en-US" w:eastAsia="zh-CN" w:bidi="ar"/>
              </w:rPr>
            </w:pPr>
            <w:r>
              <w:rPr>
                <w:rStyle w:val="116"/>
                <w:rFonts w:ascii="宋体" w:hAnsi="宋体" w:eastAsia="宋体" w:cs="宋体"/>
                <w:color w:val="auto"/>
                <w:highlight w:val="none"/>
                <w:lang w:val="en-US" w:eastAsia="zh-CN" w:bidi="ar"/>
              </w:rPr>
              <w:t>展示节点信息，包含节点名称及二维码信息</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定制雪弗板或者亚克力材质数量为实际所含所有节点数量，尺寸根据节点名称调整。</w:t>
            </w:r>
          </w:p>
          <w:p>
            <w:pPr>
              <w:keepNext w:val="0"/>
              <w:keepLines w:val="0"/>
              <w:widowControl/>
              <w:suppressLineNumbers w:val="0"/>
              <w:jc w:val="left"/>
              <w:textAlignment w:val="center"/>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标牌尺寸：15cm*30cm</w:t>
            </w:r>
          </w:p>
          <w:p>
            <w:pPr>
              <w:keepNext w:val="0"/>
              <w:keepLines w:val="0"/>
              <w:widowControl/>
              <w:suppressLineNumbers w:val="0"/>
              <w:jc w:val="left"/>
              <w:textAlignment w:val="center"/>
              <w:rPr>
                <w:rStyle w:val="116"/>
                <w:rFonts w:hint="default"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标牌数量：28块</w:t>
            </w:r>
          </w:p>
          <w:p>
            <w:pPr>
              <w:keepNext w:val="0"/>
              <w:keepLines w:val="0"/>
              <w:widowControl/>
              <w:suppressLineNumbers w:val="0"/>
              <w:jc w:val="left"/>
              <w:textAlignment w:val="center"/>
              <w:rPr>
                <w:rStyle w:val="116"/>
                <w:rFonts w:hint="default"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二维码信息描述：能够以文字或图片形式展示标牌内容的性质、特征等</w:t>
            </w:r>
          </w:p>
          <w:p>
            <w:pPr>
              <w:keepNext w:val="0"/>
              <w:keepLines w:val="0"/>
              <w:widowControl/>
              <w:suppressLineNumbers w:val="0"/>
              <w:jc w:val="left"/>
              <w:textAlignment w:val="center"/>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标牌名称：</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hint="eastAsia" w:ascii="宋体" w:hAnsi="宋体" w:eastAsia="宋体" w:cs="宋体"/>
                <w:color w:val="auto"/>
                <w:highlight w:val="none"/>
                <w:lang w:val="en-US" w:eastAsia="zh-CN" w:bidi="ar"/>
              </w:rPr>
              <w:t>块料地面（客厅）2.块料地面（过道）3.块料地面（卧室）4.块料地面（厨房）5.块料地面（卫生间）6.轻钢龙骨石膏板造型吊顶（客厅、7过道、8主卧）9.石材门套（玄关）10.瓷砖脚线（卧室）11.块料墙面（厨房）12.乳胶漆工程（卧室）13.墙面防水（厨卫）14.铝合金窗户厨房15.铝框玻璃推拉门卫生间16.铝框玻璃平开门17.实木房门18.配电箱19.吊灯（客餐厅）20.吸顶灯（卧室）21.LED灯带22.单双控开关23.模型床24.橱柜套装（模型）25.电视机及背景墙26.冰箱27.洗衣机28.写字台及台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行走课堂学习系统</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可以通过微信直接识别二维码，获取材料节点的学习资源</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根据模型节点定制开发二维码扫码学习系统，每个节点的二维码涵盖该节点的定义与概念、节点照片、特点及适用范围、构造要求等。</w:t>
            </w:r>
            <w:r>
              <w:rPr>
                <w:rStyle w:val="116"/>
                <w:color w:val="auto"/>
                <w:highlight w:val="none"/>
                <w:lang w:val="en-US" w:eastAsia="zh-CN" w:bidi="ar"/>
              </w:rPr>
              <w:br w:type="textWrapping"/>
            </w:r>
            <w:r>
              <w:rPr>
                <w:rStyle w:val="116"/>
                <w:color w:val="auto"/>
                <w:highlight w:val="none"/>
                <w:lang w:val="en-US" w:eastAsia="zh-CN" w:bidi="ar"/>
              </w:rPr>
              <w:t>1.系统采用既定模块架构，系统在互联网状态下基于建筑装饰节点，系统必须结合节点，融合学校老师需求适当定制修改，学生可以使用手机微信进行扫码获取到模型节点信息进行相关线下学习；</w:t>
            </w:r>
            <w:r>
              <w:rPr>
                <w:rStyle w:val="116"/>
                <w:color w:val="auto"/>
                <w:highlight w:val="none"/>
                <w:lang w:val="en-US" w:eastAsia="zh-CN" w:bidi="ar"/>
              </w:rPr>
              <w:br w:type="textWrapping"/>
            </w:r>
            <w:r>
              <w:rPr>
                <w:rStyle w:val="116"/>
                <w:color w:val="auto"/>
                <w:highlight w:val="none"/>
                <w:lang w:val="en-US" w:eastAsia="zh-CN" w:bidi="ar"/>
              </w:rPr>
              <w:t>2.每一个模型节点对应节点标牌，节点标牌上标注模型节点详图以及对应的二维码；</w:t>
            </w:r>
            <w:r>
              <w:rPr>
                <w:rStyle w:val="116"/>
                <w:color w:val="auto"/>
                <w:highlight w:val="none"/>
                <w:lang w:val="en-US" w:eastAsia="zh-CN" w:bidi="ar"/>
              </w:rPr>
              <w:br w:type="textWrapping"/>
            </w:r>
            <w:r>
              <w:rPr>
                <w:rStyle w:val="116"/>
                <w:color w:val="auto"/>
                <w:highlight w:val="none"/>
                <w:lang w:val="en-US" w:eastAsia="zh-CN" w:bidi="ar"/>
              </w:rPr>
              <w:t>3.模型节点二维码对应图文介绍资料及相关施工规范等资源，学生可以通过手机扫描节点二维码，实现跨媒体信息浏览，实现静态节点和动态工艺的实时互动；</w:t>
            </w:r>
            <w:r>
              <w:rPr>
                <w:rStyle w:val="116"/>
                <w:color w:val="auto"/>
                <w:highlight w:val="none"/>
                <w:lang w:val="en-US" w:eastAsia="zh-CN" w:bidi="ar"/>
              </w:rPr>
              <w:br w:type="textWrapping"/>
            </w:r>
            <w:r>
              <w:rPr>
                <w:rStyle w:val="116"/>
                <w:color w:val="auto"/>
                <w:highlight w:val="none"/>
                <w:lang w:val="en-US" w:eastAsia="zh-CN" w:bidi="ar"/>
              </w:rPr>
              <w:t>4.系统后台采用既定模式，采用账号、密码登陆，后台支持节点信息搜索、节点信息新增、节点信息批量删除；</w:t>
            </w:r>
            <w:r>
              <w:rPr>
                <w:rStyle w:val="64"/>
                <w:color w:val="auto"/>
                <w:highlight w:val="none"/>
                <w:lang w:val="en-US" w:eastAsia="zh-CN" w:bidi="ar"/>
              </w:rPr>
              <w:br w:type="textWrapping"/>
            </w:r>
            <w:r>
              <w:rPr>
                <w:rStyle w:val="116"/>
                <w:color w:val="auto"/>
                <w:highlight w:val="none"/>
                <w:lang w:val="en-US" w:eastAsia="zh-CN" w:bidi="ar"/>
              </w:rPr>
              <w:t>5.老师可以在后台设置修改模型节点信息资源，并可以新增、删减施工影像、图文介绍资料及相关施工规范等资源，并可以自由生成二维码，支持批量删除。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装饰装修AR系统</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借助装饰装修AR学生通过扫描投射在原墙面的图纸，可直接在手机上直接成图，展示完整的样板房的装饰装修情况；教师即可通过此方式进行现场教学，增加了教学的趣味性、科技感，增强学生对专业理论知识的掌握。</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1.软件手机客户端，支持IOS系统及安卓系统，满足市面上98%以上系统兼容；</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2.资源库应利用增强现实技术直观地展示构造节点的组成，通过动画、视频认知构造的做法，便于开展教学。资源库需根据学校现有装饰样板房进行开发定做，每个节点根据氛围营造需要定做亚克力或者不锈钢标牌，显示节点名称、图纸等信息，</w:t>
            </w:r>
            <w:r>
              <w:rPr>
                <w:rStyle w:val="116"/>
                <w:color w:val="auto"/>
                <w:highlight w:val="none"/>
                <w:lang w:val="en-US" w:eastAsia="zh-CN" w:bidi="ar"/>
              </w:rPr>
              <w:t>学生可通过手机或者平板电脑移动终端查看；</w:t>
            </w:r>
            <w:r>
              <w:rPr>
                <w:rStyle w:val="116"/>
                <w:color w:val="auto"/>
                <w:highlight w:val="none"/>
                <w:lang w:val="en-US" w:eastAsia="zh-CN" w:bidi="ar"/>
              </w:rPr>
              <w:br w:type="textWrapping"/>
            </w:r>
            <w:r>
              <w:rPr>
                <w:rStyle w:val="116"/>
                <w:color w:val="auto"/>
                <w:highlight w:val="none"/>
                <w:lang w:val="en-US" w:eastAsia="zh-CN" w:bidi="ar"/>
              </w:rPr>
              <w:t>3.装饰构造AR实训系统应用增强现实AR技术，识别装饰构造图纸即可在移动端生成对应的三维模型；</w:t>
            </w:r>
            <w:r>
              <w:rPr>
                <w:rStyle w:val="116"/>
                <w:color w:val="auto"/>
                <w:highlight w:val="none"/>
                <w:lang w:val="en-US" w:eastAsia="zh-CN" w:bidi="ar"/>
              </w:rPr>
              <w:br w:type="textWrapping"/>
            </w:r>
            <w:r>
              <w:rPr>
                <w:rStyle w:val="116"/>
                <w:color w:val="auto"/>
                <w:highlight w:val="none"/>
                <w:lang w:val="en-US" w:eastAsia="zh-CN" w:bidi="ar"/>
              </w:rPr>
              <w:t>4.系统需包括构造说明、构造展示、拆装、学习资源四个模块内容；</w:t>
            </w:r>
            <w:r>
              <w:rPr>
                <w:rStyle w:val="116"/>
                <w:color w:val="auto"/>
                <w:highlight w:val="none"/>
                <w:lang w:val="en-US" w:eastAsia="zh-CN" w:bidi="ar"/>
              </w:rPr>
              <w:br w:type="textWrapping"/>
            </w:r>
            <w:r>
              <w:rPr>
                <w:rStyle w:val="116"/>
                <w:color w:val="auto"/>
                <w:highlight w:val="none"/>
                <w:lang w:val="en-US" w:eastAsia="zh-CN" w:bidi="ar"/>
              </w:rPr>
              <w:t>5.构造说明模块对构造节点的结构、材料、组成等进行语音讲解及文字说明；</w:t>
            </w:r>
            <w:r>
              <w:rPr>
                <w:rStyle w:val="116"/>
                <w:color w:val="auto"/>
                <w:highlight w:val="none"/>
                <w:lang w:val="en-US" w:eastAsia="zh-CN" w:bidi="ar"/>
              </w:rPr>
              <w:br w:type="textWrapping"/>
            </w:r>
            <w:r>
              <w:rPr>
                <w:rStyle w:val="116"/>
                <w:color w:val="auto"/>
                <w:highlight w:val="none"/>
                <w:lang w:val="en-US" w:eastAsia="zh-CN" w:bidi="ar"/>
              </w:rPr>
              <w:t>6.构造展示模块展示节点的各层次构造和组成部分，点击某个层次/构造按钮时，模型中与按钮对应的层次/构造显示，其他层次/构造半透明化，便于认知和区分，点击该层次/构造名字进行对该层次/构造语音讲解；</w:t>
            </w:r>
            <w:r>
              <w:rPr>
                <w:rStyle w:val="116"/>
                <w:color w:val="auto"/>
                <w:highlight w:val="none"/>
                <w:lang w:val="en-US" w:eastAsia="zh-CN" w:bidi="ar"/>
              </w:rPr>
              <w:br w:type="textWrapping"/>
            </w:r>
            <w:r>
              <w:rPr>
                <w:rStyle w:val="116"/>
                <w:color w:val="auto"/>
                <w:highlight w:val="none"/>
                <w:lang w:val="en-US" w:eastAsia="zh-CN" w:bidi="ar"/>
              </w:rPr>
              <w:t>7.构造拆装模块可对三维模型拆分和一键组装，便于学生掌握装饰节点层次构造；</w:t>
            </w:r>
            <w:r>
              <w:rPr>
                <w:rStyle w:val="116"/>
                <w:color w:val="auto"/>
                <w:highlight w:val="none"/>
                <w:lang w:val="en-US" w:eastAsia="zh-CN" w:bidi="ar"/>
              </w:rPr>
              <w:br w:type="textWrapping"/>
            </w:r>
            <w:r>
              <w:rPr>
                <w:rStyle w:val="116"/>
                <w:color w:val="auto"/>
                <w:highlight w:val="none"/>
                <w:lang w:val="en-US" w:eastAsia="zh-CN" w:bidi="ar"/>
              </w:rPr>
              <w:t>8.学习资源模块包含该节点对应的图纸、图片、施工影像、测试题等学习资源；视频资源要求体现相应节点的施工过程，时长不少于两分钟。</w:t>
            </w:r>
            <w:r>
              <w:rPr>
                <w:rStyle w:val="64"/>
                <w:color w:val="auto"/>
                <w:highlight w:val="none"/>
                <w:lang w:val="en-US" w:eastAsia="zh-CN" w:bidi="ar"/>
              </w:rPr>
              <w:br w:type="textWrapping"/>
            </w:r>
            <w:r>
              <w:rPr>
                <w:rStyle w:val="116"/>
                <w:color w:val="auto"/>
                <w:highlight w:val="none"/>
                <w:lang w:val="en-US" w:eastAsia="zh-CN" w:bidi="ar"/>
              </w:rPr>
              <w:t>9.建筑装饰样板房移动AR教学资源库节点数量为50个。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装饰装修配套工程项目1</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装饰装修架子工程施工设备类（详见附表）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装饰装修配套工程项目2</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装饰装修砌筑工程施工设备类（详见附表）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装饰装修配套工程项目3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装饰装修腐蚀控制工程施工设备类（详见附表）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装饰装修配套工程项目4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装饰装修钢筋工程工程施工设备类（详见附表）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2"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2、装饰一体化教室</w:t>
            </w:r>
          </w:p>
        </w:tc>
        <w:tc>
          <w:tcPr>
            <w:tcW w:w="551" w:type="dxa"/>
            <w:tcBorders>
              <w:top w:val="single" w:color="000000" w:sz="4" w:space="0"/>
              <w:left w:val="nil"/>
              <w:bottom w:val="single" w:color="000000" w:sz="4" w:space="0"/>
              <w:right w:val="nil"/>
            </w:tcBorders>
            <w:noWrap w:val="0"/>
            <w:vAlign w:val="center"/>
          </w:tcPr>
          <w:p>
            <w:pPr>
              <w:rPr>
                <w:rFonts w:hint="eastAsia" w:ascii="宋体" w:hAnsi="宋体" w:eastAsia="宋体" w:cs="宋体"/>
                <w:b/>
                <w:bCs/>
                <w:i w:val="0"/>
                <w:iCs w:val="0"/>
                <w:color w:val="auto"/>
                <w:sz w:val="20"/>
                <w:szCs w:val="20"/>
                <w:highlight w:val="none"/>
                <w:u w:val="none"/>
              </w:rPr>
            </w:pPr>
          </w:p>
        </w:tc>
        <w:tc>
          <w:tcPr>
            <w:tcW w:w="607" w:type="dxa"/>
            <w:tcBorders>
              <w:top w:val="single" w:color="000000" w:sz="4" w:space="0"/>
              <w:left w:val="nil"/>
              <w:bottom w:val="single" w:color="000000" w:sz="4" w:space="0"/>
              <w:right w:val="nil"/>
            </w:tcBorders>
            <w:noWrap w:val="0"/>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36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LED显示屏（核心产品）</w:t>
            </w:r>
          </w:p>
        </w:tc>
        <w:tc>
          <w:tcPr>
            <w:tcW w:w="53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P2.5，面积约8平方（3.84*2.08米）含视频处理器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、发送卡、接收卡、支撑结构、播放软件等。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一、LED屏体</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 显示屏类型：LED类型采用SMD表贴三合一封装,点间距≤2.5mm。 显示尺寸为宽≥3.84m，高≥2.08m，显示面积≥7.9872㎡，显示屏长宽根据根各生产厂家自行设计，长宽尺寸和面积不小于规定尺寸。</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2. 整机采用压铸铝箱体，保证箱体拼接的平整度和密封防尘性；全金属散热、无风扇，无孔，防尘静音设计；支持模组、电源、接收卡前维护\后维护方式。</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 xml:space="preserve">3. 本项目要求单元箱体为所投品牌整机出货，不接受市场组装机，所有材料均满足无铅环保制程要求，整机经过各项安全和可靠性测试。 </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4. 最高对比度≥10000:1。</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5. 亮度≥800nit，（0-100%无极可调）。</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6. 色温：1000-13000K 可调，调节步长100K。</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7. 可视角度：水平≥170°，垂直≥170°。</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8. 刷新频率≥3840HZ ，画面延时≤2ms。</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9. 亮度均匀性≥98%；</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10. 峰值功耗：≤480W/㎡，平均功耗：≤160㎡，采用低转折节能技术，4档可调节恒流拐点电压，支持智能(黑屏)节电功能，开启智能节电功能比没有开启节电40%以上；提供检测报告复印件加盖制造商公章。</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 xml:space="preserve">11. 模组平整度：≤0.1mm;模组间隙≤0.1mm。支持软硬件调节亮暗线功能，暗线修复、隐亮消除;支持以模组为单位进行调节。提供检测报告复印件加盖制造商公章。 </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12. 灰度等级：≥16bit。满足低亮高灰要求，100%亮度时，16bit;20%亮度时，14bit。</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13. 控制方式：同步控制，具备USB、TCP/IP、手机三种控制方式。可实现远程联网控制。</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 xml:space="preserve">14. 工作时间满足7×24小时连续工作无故障，平均故障间隔时间（MTBF）100,000小时，平均故障恢复时间（MTTR）≤5分钟； </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15. 具有模块及亮度、色度校正功能，校正数据可保存及回读。屏体长时间没有使用，屏体自动切入除湿模式；</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 xml:space="preserve">16. 自动Gamma矫正技术，通过构造非线性校正曲线和色坐标变换系数矩阵实现了显示效果的不断改善，各项重要指标如色彩还原性、色温调节范围、亮度均匀性、刷新率、换帧频率等，均符合广电级标准； </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17. 显示屏具有多点测温系统，均衡散热，防止局部温度过高造成色彩漂移，并提高显示屏寿命；提供检测报告复印件加盖制造商公章。</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18. 显示屏采用分布式供电系统，具有电源过压、过流、断电保护及温度控制系统，对电源进行实时温度监控，超出设定温度自动报警，防止过温失效。</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二、视频处理器</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1.支持多达 5 路输入接口，包括 1 路 DVI，1 路 HDMI1.3，1 路 VGA，1 路 USB 播放，1 路 CVBS，1 路选配扩展子卡。</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2.支持窗口位置、大小调整及窗口截取功能。</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3.扩展子卡安装后支持使用鼠标或键盘进行控制和手机电脑等无线投屏。</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4.支持输入源一键切换。</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5.支持外置独立音频。</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6.支持 DVI、HDMI 的输入分辨率预设及自定义调节。</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7.支持画面一键全屏缩放、点对点显示、自定义缩放三种缩放模式。</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8．支持快捷点屏，简单操作即可完成屏体配置。</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9．支持 4 个网口输出，最大带载 260 万像素，最大宽度 3840 像素，最大高度 1920 像素。</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10.支持创建 6 个用户场景作为模板保存，可直接调用，方便使用。</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11.支持通过 RS232 协议连接中控设备。</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12.支持屏体参数调整，例如亮度、Gamma 等</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三、屏体钢结构</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1、采用定制钢材结构，屏体型材与箱体安装孔位保持完全一致；</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2、拼接框架及支撑结构必须采用高强度钢材，保证安装牢固度符合国家标准。</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3、与现有环境协调一致，高端不锈钢板材定制。</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四、配电及系统安装调试培训</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1、10KW配电柜。满足过流、短路、断路、过压、欠压等保护措施。</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2、LED显示屏系统安装调试：显示屏背部弱电和强电布线、接线；控制系统安装；大屏参数调节和系统联调等</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3、LED显示屏培训服务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366"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5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366" w:type="dxa"/>
            <w:vMerge w:val="continue"/>
            <w:tcBorders>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5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CPU≥i7-8700，内存≥8G，硬盘≥128GSSD+1T，显卡≥2G独显，配套鼠标键盘，面板尺寸≥23.8英寸。</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1、CPU:NewCorei7-10700(2.9G/16M/8核)</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2、主板：Intel Q470 或以上</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3、内存：配置 ≥ 8G DDR4-2666MHz，2个或以上内存插槽；</w:t>
            </w:r>
            <w:r>
              <w:rPr>
                <w:rStyle w:val="116"/>
                <w:color w:val="auto"/>
                <w:highlight w:val="none"/>
                <w:lang w:val="en-US" w:eastAsia="zh-CN" w:bidi="ar"/>
              </w:rPr>
              <w:br w:type="textWrapping"/>
            </w:r>
            <w:r>
              <w:rPr>
                <w:rStyle w:val="116"/>
                <w:color w:val="auto"/>
                <w:highlight w:val="none"/>
                <w:lang w:val="en-US" w:eastAsia="zh-CN" w:bidi="ar"/>
              </w:rPr>
              <w:t>4、声卡：集成；</w:t>
            </w:r>
            <w:r>
              <w:rPr>
                <w:rStyle w:val="116"/>
                <w:color w:val="auto"/>
                <w:highlight w:val="none"/>
                <w:lang w:val="en-US" w:eastAsia="zh-CN" w:bidi="ar"/>
              </w:rPr>
              <w:br w:type="textWrapping"/>
            </w:r>
            <w:r>
              <w:rPr>
                <w:rStyle w:val="116"/>
                <w:color w:val="auto"/>
                <w:highlight w:val="none"/>
                <w:lang w:val="en-US" w:eastAsia="zh-CN" w:bidi="ar"/>
              </w:rPr>
              <w:t>5、硬盘：≥1T机械硬盘+256G SSD；</w:t>
            </w:r>
            <w:r>
              <w:rPr>
                <w:rStyle w:val="116"/>
                <w:color w:val="auto"/>
                <w:highlight w:val="none"/>
                <w:lang w:val="en-US" w:eastAsia="zh-CN" w:bidi="ar"/>
              </w:rPr>
              <w:br w:type="textWrapping"/>
            </w:r>
            <w:r>
              <w:rPr>
                <w:rStyle w:val="116"/>
                <w:color w:val="auto"/>
                <w:highlight w:val="none"/>
                <w:lang w:val="en-US" w:eastAsia="zh-CN" w:bidi="ar"/>
              </w:rPr>
              <w:t>6、显卡：2G独显；</w:t>
            </w:r>
            <w:r>
              <w:rPr>
                <w:rStyle w:val="116"/>
                <w:color w:val="auto"/>
                <w:highlight w:val="none"/>
                <w:lang w:val="en-US" w:eastAsia="zh-CN" w:bidi="ar"/>
              </w:rPr>
              <w:br w:type="textWrapping"/>
            </w:r>
            <w:r>
              <w:rPr>
                <w:rStyle w:val="116"/>
                <w:color w:val="auto"/>
                <w:highlight w:val="none"/>
                <w:lang w:val="en-US" w:eastAsia="zh-CN" w:bidi="ar"/>
              </w:rPr>
              <w:t>7、网卡：集成千兆自适应以太网，支持双以太网卡；</w:t>
            </w:r>
            <w:r>
              <w:rPr>
                <w:rStyle w:val="116"/>
                <w:color w:val="auto"/>
                <w:highlight w:val="none"/>
                <w:lang w:val="en-US" w:eastAsia="zh-CN" w:bidi="ar"/>
              </w:rPr>
              <w:br w:type="textWrapping"/>
            </w:r>
            <w:r>
              <w:rPr>
                <w:rStyle w:val="116"/>
                <w:color w:val="auto"/>
                <w:highlight w:val="none"/>
                <w:lang w:val="en-US" w:eastAsia="zh-CN" w:bidi="ar"/>
              </w:rPr>
              <w:t>8、显示器：≥23.8英寸显示器同品牌商用显示器；</w:t>
            </w:r>
            <w:r>
              <w:rPr>
                <w:rStyle w:val="116"/>
                <w:color w:val="auto"/>
                <w:highlight w:val="none"/>
                <w:lang w:val="en-US" w:eastAsia="zh-CN" w:bidi="ar"/>
              </w:rPr>
              <w:br w:type="textWrapping"/>
            </w:r>
            <w:r>
              <w:rPr>
                <w:rStyle w:val="116"/>
                <w:color w:val="auto"/>
                <w:highlight w:val="none"/>
                <w:lang w:val="en-US" w:eastAsia="zh-CN" w:bidi="ar"/>
              </w:rPr>
              <w:t>9、键盘、鼠标：抗菌键盘，抗菌鼠标；</w:t>
            </w:r>
            <w:r>
              <w:rPr>
                <w:rStyle w:val="116"/>
                <w:color w:val="auto"/>
                <w:highlight w:val="none"/>
                <w:lang w:val="en-US" w:eastAsia="zh-CN" w:bidi="ar"/>
              </w:rPr>
              <w:br w:type="textWrapping"/>
            </w:r>
            <w:r>
              <w:rPr>
                <w:rStyle w:val="116"/>
                <w:color w:val="auto"/>
                <w:highlight w:val="none"/>
                <w:lang w:val="en-US" w:eastAsia="zh-CN" w:bidi="ar"/>
              </w:rPr>
              <w:t>10、接口：USB≥10个（其中前置6个USB3.1）,背面≥ 4个USB，≥1个 DP接口，≥1个 VGA接口 2个音频接口；</w:t>
            </w:r>
            <w:r>
              <w:rPr>
                <w:rStyle w:val="116"/>
                <w:color w:val="auto"/>
                <w:highlight w:val="none"/>
                <w:lang w:val="en-US" w:eastAsia="zh-CN" w:bidi="ar"/>
              </w:rPr>
              <w:br w:type="textWrapping"/>
            </w:r>
            <w:r>
              <w:rPr>
                <w:rStyle w:val="116"/>
                <w:color w:val="auto"/>
                <w:highlight w:val="none"/>
                <w:lang w:val="en-US" w:eastAsia="zh-CN" w:bidi="ar"/>
              </w:rPr>
              <w:t>11、电源：≥260W 节能环保电源；</w:t>
            </w:r>
            <w:r>
              <w:rPr>
                <w:rStyle w:val="116"/>
                <w:color w:val="auto"/>
                <w:highlight w:val="none"/>
                <w:lang w:val="en-US" w:eastAsia="zh-CN" w:bidi="ar"/>
              </w:rPr>
              <w:br w:type="textWrapping"/>
            </w:r>
            <w:r>
              <w:rPr>
                <w:rStyle w:val="116"/>
                <w:color w:val="auto"/>
                <w:highlight w:val="none"/>
                <w:lang w:val="en-US" w:eastAsia="zh-CN" w:bidi="ar"/>
              </w:rPr>
              <w:t>12、操作系统：出厂自带原装操作系统</w:t>
            </w:r>
            <w:r>
              <w:rPr>
                <w:rStyle w:val="116"/>
                <w:color w:val="auto"/>
                <w:highlight w:val="none"/>
                <w:lang w:val="en-US" w:eastAsia="zh-CN" w:bidi="ar"/>
              </w:rPr>
              <w:br w:type="textWrapping"/>
            </w:r>
            <w:r>
              <w:rPr>
                <w:rStyle w:val="116"/>
                <w:color w:val="auto"/>
                <w:highlight w:val="none"/>
                <w:lang w:val="en-US" w:eastAsia="zh-CN" w:bidi="ar"/>
              </w:rPr>
              <w:t>13、服务：三年保修及上门，原厂400/800售后电话，第二工作日上门服务；提供生产厂家针对本项目提供授权及售后服务承诺函。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音响设备</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定压吸顶喇叭音响，吊顶背景音乐公共广播系统（一拖六）</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一、音箱</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1.额定功率：(100V)1.5W,3W,6W</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2.额定功率：(70V)0.75W,1.5W,3W</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3.阻抗：黑：COM红：6.7KΩ绿：3.3KΩ白：1.7KΩ</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4.灵敏度(1W/1M)：92dB</w:t>
            </w:r>
            <w:r>
              <w:rPr>
                <w:rStyle w:val="116"/>
                <w:color w:val="auto"/>
                <w:highlight w:val="none"/>
                <w:lang w:val="en-US" w:eastAsia="zh-CN" w:bidi="ar"/>
              </w:rPr>
              <w:br w:type="textWrapping"/>
            </w:r>
            <w:r>
              <w:rPr>
                <w:rStyle w:val="116"/>
                <w:color w:val="auto"/>
                <w:highlight w:val="none"/>
                <w:lang w:val="en-US" w:eastAsia="zh-CN" w:bidi="ar"/>
              </w:rPr>
              <w:t>5.频率响应(-10dB)：110-18KHz</w:t>
            </w:r>
            <w:r>
              <w:rPr>
                <w:rStyle w:val="116"/>
                <w:color w:val="auto"/>
                <w:highlight w:val="none"/>
                <w:lang w:val="en-US" w:eastAsia="zh-CN" w:bidi="ar"/>
              </w:rPr>
              <w:br w:type="textWrapping"/>
            </w:r>
            <w:r>
              <w:rPr>
                <w:rStyle w:val="116"/>
                <w:color w:val="auto"/>
                <w:highlight w:val="none"/>
                <w:lang w:val="en-US" w:eastAsia="zh-CN" w:bidi="ar"/>
              </w:rPr>
              <w:t>6.喇叭单元：5"×1</w:t>
            </w:r>
            <w:r>
              <w:rPr>
                <w:rStyle w:val="116"/>
                <w:color w:val="auto"/>
                <w:highlight w:val="none"/>
                <w:lang w:val="en-US" w:eastAsia="zh-CN" w:bidi="ar"/>
              </w:rPr>
              <w:br w:type="textWrapping"/>
            </w:r>
            <w:r>
              <w:rPr>
                <w:rStyle w:val="116"/>
                <w:color w:val="auto"/>
                <w:highlight w:val="none"/>
                <w:lang w:val="en-US" w:eastAsia="zh-CN" w:bidi="ar"/>
              </w:rPr>
              <w:t>7.安装开孔尺寸：170mm</w:t>
            </w:r>
            <w:r>
              <w:rPr>
                <w:rStyle w:val="116"/>
                <w:color w:val="auto"/>
                <w:highlight w:val="none"/>
                <w:lang w:val="en-US" w:eastAsia="zh-CN" w:bidi="ar"/>
              </w:rPr>
              <w:br w:type="textWrapping"/>
            </w:r>
            <w:r>
              <w:rPr>
                <w:rStyle w:val="116"/>
                <w:color w:val="auto"/>
                <w:highlight w:val="none"/>
                <w:lang w:val="en-US" w:eastAsia="zh-CN" w:bidi="ar"/>
              </w:rPr>
              <w:t>8.尺寸：200×55mm</w:t>
            </w:r>
            <w:r>
              <w:rPr>
                <w:rStyle w:val="116"/>
                <w:color w:val="auto"/>
                <w:highlight w:val="none"/>
                <w:lang w:val="en-US" w:eastAsia="zh-CN" w:bidi="ar"/>
              </w:rPr>
              <w:br w:type="textWrapping"/>
            </w:r>
            <w:r>
              <w:rPr>
                <w:rStyle w:val="116"/>
                <w:color w:val="auto"/>
                <w:highlight w:val="none"/>
                <w:lang w:val="en-US" w:eastAsia="zh-CN" w:bidi="ar"/>
              </w:rPr>
              <w:t>9.重量：0.8Kg</w:t>
            </w:r>
            <w:r>
              <w:rPr>
                <w:rStyle w:val="116"/>
                <w:color w:val="auto"/>
                <w:highlight w:val="none"/>
                <w:lang w:val="en-US" w:eastAsia="zh-CN" w:bidi="ar"/>
              </w:rPr>
              <w:br w:type="textWrapping"/>
            </w:r>
            <w:r>
              <w:rPr>
                <w:rStyle w:val="116"/>
                <w:color w:val="auto"/>
                <w:highlight w:val="none"/>
                <w:lang w:val="en-US" w:eastAsia="zh-CN" w:bidi="ar"/>
              </w:rPr>
              <w:t>10.外壳材料：铁质外壳+铝制网罩</w:t>
            </w:r>
            <w:r>
              <w:rPr>
                <w:rStyle w:val="116"/>
                <w:color w:val="auto"/>
                <w:highlight w:val="none"/>
                <w:lang w:val="en-US" w:eastAsia="zh-CN" w:bidi="ar"/>
              </w:rPr>
              <w:br w:type="textWrapping"/>
            </w:r>
            <w:r>
              <w:rPr>
                <w:rStyle w:val="116"/>
                <w:color w:val="auto"/>
                <w:highlight w:val="none"/>
                <w:lang w:val="en-US" w:eastAsia="zh-CN" w:bidi="ar"/>
              </w:rPr>
              <w:t>二、配套线材等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多媒体讲桌</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尺寸：长*宽*高：≥1060mm*750mm*980mm；优质冷轧钢板+高档木质扶手，钢制部分采用0.7-1.2mm优质冷轧钢板制作。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折叠培训椅</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类别：网布电脑椅，材质：金属，尺寸（cm):45*62*86，承重量（kg）≥100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3P,变频、冷暖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桌子</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长100，高90，台面长80，宽50.用密度板材质，环保无味免漆的，表面防水防潮、耐热防霉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装饰装修工艺实训系统</w:t>
            </w:r>
          </w:p>
        </w:tc>
        <w:tc>
          <w:tcPr>
            <w:tcW w:w="53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92"/>
                <w:rFonts w:hint="eastAsia" w:asciiTheme="minorEastAsia" w:hAnsiTheme="minorEastAsia" w:eastAsiaTheme="minorEastAsia" w:cstheme="minorEastAsia"/>
                <w:color w:val="auto"/>
                <w:sz w:val="21"/>
                <w:szCs w:val="21"/>
                <w:highlight w:val="none"/>
                <w:lang w:val="en-US" w:eastAsia="zh-CN" w:bidi="ar"/>
              </w:rPr>
              <w:t>装饰装修仿真平台是在实体实训基地的基础上真实还原搭建的虚拟仿真实训平台。学生即使缺席实地实训的学习或想在课后继续进行自学，也可进入完全还原实训场地的虚拟实训系统进行操作学习。在虚拟实训系统中可以同步对教学知识进行考核和知识巩固复习。46个装饰装修施工工艺实训模块</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一、软件功能</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1、平台以账号和密码登录，进入软件主界面时，系统自动弹出三种模式：教学模式、实训</w:t>
            </w:r>
            <w:r>
              <w:rPr>
                <w:rStyle w:val="116"/>
                <w:color w:val="auto"/>
                <w:highlight w:val="none"/>
                <w:lang w:val="en-US" w:eastAsia="zh-CN" w:bidi="ar"/>
              </w:rPr>
              <w:t>模式、考核模式；</w:t>
            </w:r>
            <w:r>
              <w:rPr>
                <w:rStyle w:val="116"/>
                <w:color w:val="auto"/>
                <w:highlight w:val="none"/>
                <w:lang w:val="en-US" w:eastAsia="zh-CN" w:bidi="ar"/>
              </w:rPr>
              <w:br w:type="textWrapping"/>
            </w:r>
            <w:r>
              <w:rPr>
                <w:rStyle w:val="116"/>
                <w:color w:val="auto"/>
                <w:highlight w:val="none"/>
                <w:lang w:val="en-US" w:eastAsia="zh-CN" w:bidi="ar"/>
              </w:rPr>
              <w:t>2、教学模式可用于教师上课、学生课后自学，可以实现对整个分部工程全过程的配套文字及语音讲解演示，演示过程中可实时暂停、360度旋转，可以对重点施工细节进行定点放大查看。暂停功能应该实现老师对施工知识点的讲解和学生对后续施工操作的学习；</w:t>
            </w:r>
            <w:r>
              <w:rPr>
                <w:rStyle w:val="116"/>
                <w:color w:val="auto"/>
                <w:highlight w:val="none"/>
                <w:lang w:val="en-US" w:eastAsia="zh-CN" w:bidi="ar"/>
              </w:rPr>
              <w:br w:type="textWrapping"/>
            </w:r>
            <w:r>
              <w:rPr>
                <w:rStyle w:val="116"/>
                <w:color w:val="auto"/>
                <w:highlight w:val="none"/>
                <w:lang w:val="en-US" w:eastAsia="zh-CN" w:bidi="ar"/>
              </w:rPr>
              <w:t>3、进入平台各分项工程之前需体现该分项工程的学生所要掌握的技能点和知识点以及教师所要达到的教学目标；</w:t>
            </w:r>
            <w:r>
              <w:rPr>
                <w:rStyle w:val="116"/>
                <w:color w:val="auto"/>
                <w:highlight w:val="none"/>
                <w:lang w:val="en-US" w:eastAsia="zh-CN" w:bidi="ar"/>
              </w:rPr>
              <w:br w:type="textWrapping"/>
            </w:r>
            <w:r>
              <w:rPr>
                <w:rStyle w:val="116"/>
                <w:color w:val="auto"/>
                <w:highlight w:val="none"/>
                <w:lang w:val="en-US" w:eastAsia="zh-CN" w:bidi="ar"/>
              </w:rPr>
              <w:t>4、实训模式整个过程通过单手操作完成，点击教学资源和工程图纸按钮时需在独立的窗口界面进行呈现教学资源和工程图纸，为了方便教学和老师课堂讲解。</w:t>
            </w:r>
            <w:r>
              <w:rPr>
                <w:rStyle w:val="116"/>
                <w:color w:val="auto"/>
                <w:highlight w:val="none"/>
                <w:lang w:val="en-US" w:eastAsia="zh-CN" w:bidi="ar"/>
              </w:rPr>
              <w:br w:type="textWrapping"/>
            </w:r>
            <w:r>
              <w:rPr>
                <w:rStyle w:val="116"/>
                <w:color w:val="auto"/>
                <w:highlight w:val="none"/>
                <w:lang w:val="en-US" w:eastAsia="zh-CN" w:bidi="ar"/>
              </w:rPr>
              <w:t>5、教学模式、实训模式对于每个施工步骤必须出现相应的文字提示及语音，提示应说明具体的施工内容和使用的施工材料名称。</w:t>
            </w:r>
            <w:r>
              <w:rPr>
                <w:rStyle w:val="116"/>
                <w:color w:val="auto"/>
                <w:highlight w:val="none"/>
                <w:lang w:val="en-US" w:eastAsia="zh-CN" w:bidi="ar"/>
              </w:rPr>
              <w:br w:type="textWrapping"/>
            </w:r>
            <w:r>
              <w:rPr>
                <w:rStyle w:val="116"/>
                <w:color w:val="auto"/>
                <w:highlight w:val="none"/>
                <w:lang w:val="en-US" w:eastAsia="zh-CN" w:bidi="ar"/>
              </w:rPr>
              <w:t>6、每一工序选择机具时随机给予一个正确及三个错误机具选择，鼠标移动至机具时出现机具简介，点击机具简介中的详情可查看该机具详细的图文介绍。</w:t>
            </w:r>
            <w:r>
              <w:rPr>
                <w:rStyle w:val="116"/>
                <w:color w:val="auto"/>
                <w:highlight w:val="none"/>
                <w:lang w:val="en-US" w:eastAsia="zh-CN" w:bidi="ar"/>
              </w:rPr>
              <w:br w:type="textWrapping"/>
            </w:r>
            <w:r>
              <w:rPr>
                <w:rStyle w:val="116"/>
                <w:color w:val="auto"/>
                <w:highlight w:val="none"/>
                <w:lang w:val="en-US" w:eastAsia="zh-CN" w:bidi="ar"/>
              </w:rPr>
              <w:t>7、考核模式学生答题之后如果回答正确，后台成绩管理系统会自动增加相应的分值；如果回答错误，正确答案选项会用红色进行标记，和学生选项加以区分，达到很好的纠错效果，巩固学习。后台成绩管理系统不计分也不扣分。</w:t>
            </w:r>
            <w:r>
              <w:rPr>
                <w:rStyle w:val="116"/>
                <w:color w:val="auto"/>
                <w:highlight w:val="none"/>
                <w:lang w:val="en-US" w:eastAsia="zh-CN" w:bidi="ar"/>
              </w:rPr>
              <w:br w:type="textWrapping"/>
            </w:r>
            <w:r>
              <w:rPr>
                <w:rStyle w:val="116"/>
                <w:color w:val="auto"/>
                <w:highlight w:val="none"/>
                <w:lang w:val="en-US" w:eastAsia="zh-CN" w:bidi="ar"/>
              </w:rPr>
              <w:t>8、通过对施工演示的实时暂停，可以对重点施工细节进行定点查看。暂停功能应该实现老师对施工知识点的讲解和学生对后续施工操作的学习。</w:t>
            </w:r>
            <w:r>
              <w:rPr>
                <w:rStyle w:val="116"/>
                <w:color w:val="auto"/>
                <w:highlight w:val="none"/>
                <w:lang w:val="en-US" w:eastAsia="zh-CN" w:bidi="ar"/>
              </w:rPr>
              <w:br w:type="textWrapping"/>
            </w:r>
            <w:r>
              <w:rPr>
                <w:rStyle w:val="116"/>
                <w:color w:val="auto"/>
                <w:highlight w:val="none"/>
                <w:lang w:val="en-US" w:eastAsia="zh-CN" w:bidi="ar"/>
              </w:rPr>
              <w:t>9、要求免去多窗口操作，所有的功能都可以在施工的同时进行体现。</w:t>
            </w:r>
            <w:r>
              <w:rPr>
                <w:rStyle w:val="116"/>
                <w:color w:val="auto"/>
                <w:highlight w:val="none"/>
                <w:lang w:val="en-US" w:eastAsia="zh-CN" w:bidi="ar"/>
              </w:rPr>
              <w:br w:type="textWrapping"/>
            </w:r>
            <w:r>
              <w:rPr>
                <w:rStyle w:val="116"/>
                <w:color w:val="auto"/>
                <w:highlight w:val="none"/>
                <w:lang w:val="en-US" w:eastAsia="zh-CN" w:bidi="ar"/>
              </w:rPr>
              <w:t>10、要求施工过程可以进行多次回放查看，加深对施工操作的印象。</w:t>
            </w:r>
            <w:r>
              <w:rPr>
                <w:rStyle w:val="116"/>
                <w:color w:val="auto"/>
                <w:highlight w:val="none"/>
                <w:lang w:val="en-US" w:eastAsia="zh-CN" w:bidi="ar"/>
              </w:rPr>
              <w:br w:type="textWrapping"/>
            </w:r>
            <w:r>
              <w:rPr>
                <w:rStyle w:val="116"/>
                <w:color w:val="auto"/>
                <w:highlight w:val="none"/>
                <w:lang w:val="en-US" w:eastAsia="zh-CN" w:bidi="ar"/>
              </w:rPr>
              <w:t>11、要求软件包括人物角色带入，在施工前引入人物对话，以明确施工目的和角色分配。</w:t>
            </w:r>
            <w:r>
              <w:rPr>
                <w:rStyle w:val="116"/>
                <w:color w:val="auto"/>
                <w:highlight w:val="none"/>
                <w:lang w:val="en-US" w:eastAsia="zh-CN" w:bidi="ar"/>
              </w:rPr>
              <w:br w:type="textWrapping"/>
            </w:r>
            <w:r>
              <w:rPr>
                <w:rStyle w:val="116"/>
                <w:color w:val="auto"/>
                <w:highlight w:val="none"/>
                <w:lang w:val="en-US" w:eastAsia="zh-CN" w:bidi="ar"/>
              </w:rPr>
              <w:t>二、模块要求</w:t>
            </w:r>
            <w:r>
              <w:rPr>
                <w:rStyle w:val="116"/>
                <w:color w:val="auto"/>
                <w:highlight w:val="none"/>
                <w:lang w:val="en-US" w:eastAsia="zh-CN" w:bidi="ar"/>
              </w:rPr>
              <w:br w:type="textWrapping"/>
            </w:r>
            <w:r>
              <w:rPr>
                <w:rStyle w:val="116"/>
                <w:color w:val="auto"/>
                <w:highlight w:val="none"/>
                <w:lang w:val="en-US" w:eastAsia="zh-CN" w:bidi="ar"/>
              </w:rPr>
              <w:t>序号 模块</w:t>
            </w:r>
            <w:r>
              <w:rPr>
                <w:rStyle w:val="116"/>
                <w:color w:val="auto"/>
                <w:highlight w:val="none"/>
                <w:lang w:val="en-US" w:eastAsia="zh-CN" w:bidi="ar"/>
              </w:rPr>
              <w:br w:type="textWrapping"/>
            </w:r>
            <w:r>
              <w:rPr>
                <w:rStyle w:val="116"/>
                <w:color w:val="auto"/>
                <w:highlight w:val="none"/>
                <w:lang w:val="en-US" w:eastAsia="zh-CN" w:bidi="ar"/>
              </w:rPr>
              <w:t>1 轻钢龙骨纸面石膏板隔墙装饰施工2 木骨架木饰面隔墙装饰施工3 轻质砌块隔墙装饰施工4 玻璃砖隔墙装饰施工5 玻璃板隔墙装饰施工6 鲁班墙工程施工7 室内固定隔断装饰工程施工</w:t>
            </w:r>
            <w:r>
              <w:rPr>
                <w:rStyle w:val="116"/>
                <w:color w:val="auto"/>
                <w:highlight w:val="none"/>
                <w:lang w:val="en-US" w:eastAsia="zh-CN" w:bidi="ar"/>
              </w:rPr>
              <w:br w:type="textWrapping"/>
            </w:r>
            <w:r>
              <w:rPr>
                <w:rStyle w:val="116"/>
                <w:color w:val="auto"/>
                <w:highlight w:val="none"/>
                <w:lang w:val="en-US" w:eastAsia="zh-CN" w:bidi="ar"/>
              </w:rPr>
              <w:t>8 水泥木丝板装饰工程施工9 GRC多孔条板隔墙装饰施工10 活动隔断工程施工11 内墙砖饰面装饰工程施工12 石材饰面(湿贴法)装饰工程施工13 木质饰面板装饰工程施工</w:t>
            </w:r>
            <w:r>
              <w:rPr>
                <w:rStyle w:val="116"/>
                <w:color w:val="auto"/>
                <w:highlight w:val="none"/>
                <w:lang w:val="en-US" w:eastAsia="zh-CN" w:bidi="ar"/>
              </w:rPr>
              <w:br w:type="textWrapping"/>
            </w:r>
            <w:r>
              <w:rPr>
                <w:rStyle w:val="116"/>
                <w:color w:val="auto"/>
                <w:highlight w:val="none"/>
                <w:lang w:val="en-US" w:eastAsia="zh-CN" w:bidi="ar"/>
              </w:rPr>
              <w:t>14 金属饰面板装饰工程施工15 裱糊(壁纸)装饰工程施工16 软包装饰工程施工17 内墙乳胶漆涂饰装饰工程施工18 T型龙骨硅钙(石膏、矿棉)板装饰施工19 轻钢龙骨纸面石膏板吊顶装饰施工</w:t>
            </w:r>
            <w:r>
              <w:rPr>
                <w:rStyle w:val="116"/>
                <w:color w:val="auto"/>
                <w:highlight w:val="none"/>
                <w:lang w:val="en-US" w:eastAsia="zh-CN" w:bidi="ar"/>
              </w:rPr>
              <w:br w:type="textWrapping"/>
            </w:r>
            <w:r>
              <w:rPr>
                <w:rStyle w:val="116"/>
                <w:color w:val="auto"/>
                <w:highlight w:val="none"/>
                <w:lang w:val="en-US" w:eastAsia="zh-CN" w:bidi="ar"/>
              </w:rPr>
              <w:t>20 轻钢龙骨金属方板吊顶装饰施工21 金属龙骨玻璃采光吊顶装饰施工22 陶瓷地板砖装饰工程施工23 实铺式实木地板装饰工程施工24 复合木地板装饰工程施工25 地毯面层装饰工程施工</w:t>
            </w:r>
            <w:r>
              <w:rPr>
                <w:rStyle w:val="116"/>
                <w:color w:val="auto"/>
                <w:highlight w:val="none"/>
                <w:lang w:val="en-US" w:eastAsia="zh-CN" w:bidi="ar"/>
              </w:rPr>
              <w:br w:type="textWrapping"/>
            </w:r>
            <w:r>
              <w:rPr>
                <w:rStyle w:val="116"/>
                <w:color w:val="auto"/>
                <w:highlight w:val="none"/>
                <w:lang w:val="en-US" w:eastAsia="zh-CN" w:bidi="ar"/>
              </w:rPr>
              <w:t>26 实木复合成品门装饰工程施工27 卫生间钛金平开门装饰工程施工28 阳台钛金推拉门装饰工程施工29 塑钢平开门装饰工程施工30 全玻地弹门装饰工程施工31 自动感应门装饰工程施工</w:t>
            </w:r>
            <w:r>
              <w:rPr>
                <w:rStyle w:val="116"/>
                <w:color w:val="auto"/>
                <w:highlight w:val="none"/>
                <w:lang w:val="en-US" w:eastAsia="zh-CN" w:bidi="ar"/>
              </w:rPr>
              <w:br w:type="textWrapping"/>
            </w:r>
            <w:r>
              <w:rPr>
                <w:rStyle w:val="116"/>
                <w:color w:val="auto"/>
                <w:highlight w:val="none"/>
                <w:lang w:val="en-US" w:eastAsia="zh-CN" w:bidi="ar"/>
              </w:rPr>
              <w:t>32 L形实木楼梯与栏杆安装工程施工33 室内弧形钢楼梯与栏杆安装工程施工34 玻璃楼梯与栏杆安装工程施工35 釉面砖楼梯饰面装饰工程施工36 花岗岩台阶饰面装饰工程施工</w:t>
            </w:r>
            <w:r>
              <w:rPr>
                <w:rStyle w:val="116"/>
                <w:color w:val="auto"/>
                <w:highlight w:val="none"/>
                <w:lang w:val="en-US" w:eastAsia="zh-CN" w:bidi="ar"/>
              </w:rPr>
              <w:br w:type="textWrapping"/>
            </w:r>
            <w:r>
              <w:rPr>
                <w:rStyle w:val="116"/>
                <w:color w:val="auto"/>
                <w:highlight w:val="none"/>
                <w:lang w:val="en-US" w:eastAsia="zh-CN" w:bidi="ar"/>
              </w:rPr>
              <w:t>37 PPR管材系统装饰施工38 卫生设备系统装饰施工39 供暖管道装饰施工40 强电系统装饰施工41 弱电系统装饰施工42 整体橱柜制作与安装工程施工43 衣柜制作与安装工程施工</w:t>
            </w:r>
            <w:r>
              <w:rPr>
                <w:rStyle w:val="116"/>
                <w:color w:val="auto"/>
                <w:highlight w:val="none"/>
                <w:lang w:val="en-US" w:eastAsia="zh-CN" w:bidi="ar"/>
              </w:rPr>
              <w:br w:type="textWrapping"/>
            </w:r>
            <w:r>
              <w:rPr>
                <w:rStyle w:val="116"/>
                <w:color w:val="auto"/>
                <w:highlight w:val="none"/>
                <w:lang w:val="en-US" w:eastAsia="zh-CN" w:bidi="ar"/>
              </w:rPr>
              <w:t>44 石材幕墙装饰工程施工45 玻璃幕墙(全隐)装饰施工46 金属幕墙装饰工程施工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0"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系统集成</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电源线、网线、机柜等辅材辅料及设备施工、安装、调试费。在系统中涉及的综合布线，网络连接，线路安装及调整的项目，实训系统按照相关人员的要求进行布局。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水准仪</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1、包含：主机、脚架1个、塔尺2个。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测绘全站仪</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1、包含:主机、脚架3个、棱镜2组。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激光打印机、支持自动双面、可打印复印扫描、最大可打A3。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相机稳定器</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自重不超1.5公斤，负重不小于4公斤，碳纤维轴臂、1.4英寸彩屏、12小时以上续航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补光灯</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单反用，能够在相机不稳定时进行自动补充光线亮度，并提供相关配套用具等。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视频播放器</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立式移动支架，配视频音箱，100寸大屏，4K高清，支持自动投屏功能，并安装调试到位。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bl>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pStyle w:val="2"/>
        <w:rPr>
          <w:rFonts w:hint="eastAsia"/>
          <w:b/>
          <w:bCs/>
          <w:color w:val="auto"/>
          <w:sz w:val="24"/>
          <w:szCs w:val="32"/>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highlight w:val="none"/>
          <w:lang w:val="en-US" w:eastAsia="zh-CN"/>
        </w:rPr>
      </w:pPr>
      <w:r>
        <w:rPr>
          <w:rFonts w:hint="eastAsia" w:ascii="宋体" w:hAnsi="宋体" w:eastAsia="宋体" w:cs="宋体"/>
          <w:b/>
          <w:bCs/>
          <w:i w:val="0"/>
          <w:iCs w:val="0"/>
          <w:color w:val="auto"/>
          <w:kern w:val="0"/>
          <w:sz w:val="28"/>
          <w:szCs w:val="28"/>
          <w:highlight w:val="none"/>
          <w:u w:val="none"/>
          <w:lang w:val="en-US" w:eastAsia="zh-CN" w:bidi="ar"/>
        </w:rPr>
        <w:t>附表</w:t>
      </w:r>
    </w:p>
    <w:tbl>
      <w:tblPr>
        <w:tblStyle w:val="28"/>
        <w:tblW w:w="7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7"/>
        <w:gridCol w:w="1216"/>
        <w:gridCol w:w="3666"/>
        <w:gridCol w:w="417"/>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装饰装修实训室配套工程项目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基本用途</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1、装饰装修架子工设备清单</w:t>
            </w:r>
          </w:p>
        </w:tc>
        <w:tc>
          <w:tcPr>
            <w:tcW w:w="0" w:type="auto"/>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脚手架用钢管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各种扣件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脚手板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密目安全网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测量用品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工具、器具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测量用品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铁榔头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工具、器具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工具、器具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工具、器具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2、装饰装修砌筑工程设备清单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瓦刀  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泥桶  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皮数杆  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百格网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溜子  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塞尺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钢卷尺  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劳动保护手套  棉纱手套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砂浆搅拌机  200L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平头铁铲  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圆头铁铲  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勾缝刀（方形形和圆角形）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勾直角缝、平缝、圆缝使用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  透明牛筋100m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筛子  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台秤  机械型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靠尺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30cm、50cm、100cm、200cm规格各一把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标准红砖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灰砂砖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多孔砖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多功能插板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接电用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75型天地龙骨（3m）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装饰隔墙用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75型龙骨（3m）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装饰隔墙用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75型贯通龙骨（3m）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装饰隔墙用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大型切割机（带水切割）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切割装饰瓷砖使用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带锯（带水切割瓷片）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切割装饰砌块使用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98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c>
          <w:tcPr>
            <w:tcW w:w="99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3、装饰装修腐蚀控制工程设备清单</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磨光机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多功能，交流电，手持式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磨光机片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磨光机用钢刷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除锈用钢刷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油漆</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环氧漆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白铁皮</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多功能铁皮剪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不锈钢、白铁皮均可，工业级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扳手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开口扳手工业级两用扳手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长袖工作服</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均码170到185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劳保手套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钢板</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50cm*50cm*5cm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98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c>
          <w:tcPr>
            <w:tcW w:w="234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99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4、装饰装修钢筋工程设备清单</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钢筋切断机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GQ50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调直扳手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安全帽</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fldChar w:fldCharType="begin"/>
            </w:r>
            <w:r>
              <w:rPr>
                <w:rFonts w:hint="eastAsia" w:ascii="宋体" w:hAnsi="宋体" w:eastAsia="宋体" w:cs="宋体"/>
                <w:i w:val="0"/>
                <w:iCs w:val="0"/>
                <w:color w:val="auto"/>
                <w:kern w:val="0"/>
                <w:sz w:val="20"/>
                <w:szCs w:val="20"/>
                <w:highlight w:val="none"/>
                <w:u w:val="none"/>
                <w:lang w:val="en-US" w:eastAsia="zh-CN" w:bidi="ar"/>
              </w:rPr>
              <w:instrText xml:space="preserve"> HYPERLINK "http://item.gome.com.cn/A0004013786-pop8002541769.html" \o "http://item.gome.com.cn/A0004013786-pop8002541769.html" </w:instrText>
            </w:r>
            <w:r>
              <w:rPr>
                <w:rFonts w:hint="eastAsia" w:ascii="宋体" w:hAnsi="宋体" w:eastAsia="宋体" w:cs="宋体"/>
                <w:i w:val="0"/>
                <w:iCs w:val="0"/>
                <w:color w:val="auto"/>
                <w:kern w:val="0"/>
                <w:sz w:val="20"/>
                <w:szCs w:val="20"/>
                <w:highlight w:val="none"/>
                <w:u w:val="none"/>
                <w:lang w:val="en-US" w:eastAsia="zh-CN" w:bidi="ar"/>
              </w:rPr>
              <w:fldChar w:fldCharType="separate"/>
            </w:r>
            <w:r>
              <w:rPr>
                <w:rStyle w:val="39"/>
                <w:rFonts w:hint="eastAsia" w:ascii="宋体" w:hAnsi="宋体" w:eastAsia="宋体" w:cs="宋体"/>
                <w:i w:val="0"/>
                <w:iCs w:val="0"/>
                <w:color w:val="auto"/>
                <w:sz w:val="20"/>
                <w:szCs w:val="20"/>
                <w:highlight w:val="none"/>
                <w:u w:val="none"/>
              </w:rPr>
              <w:t xml:space="preserve"> BS479605</w:t>
            </w:r>
            <w:r>
              <w:rPr>
                <w:rFonts w:hint="eastAsia" w:ascii="宋体" w:hAnsi="宋体" w:eastAsia="宋体" w:cs="宋体"/>
                <w:i w:val="0"/>
                <w:iCs w:val="0"/>
                <w:color w:val="auto"/>
                <w:kern w:val="0"/>
                <w:sz w:val="20"/>
                <w:szCs w:val="20"/>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长袖工作服套装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钢筋钩</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绑钢筋用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HPB300   φ6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HPB300   φ8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HRB400    φ12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HRB400   φ16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rPr>
          <w:rFonts w:hint="eastAsia"/>
          <w:color w:val="auto"/>
          <w:highlight w:val="none"/>
          <w:lang w:val="en-US" w:eastAsia="zh-CN"/>
        </w:rPr>
      </w:pPr>
      <w:r>
        <w:rPr>
          <w:rFonts w:hint="eastAsia"/>
          <w:color w:val="auto"/>
          <w:highlight w:val="none"/>
          <w:lang w:val="en-US" w:eastAsia="zh-CN"/>
        </w:rPr>
        <w:br w:type="page"/>
      </w:r>
    </w:p>
    <w:p>
      <w:pPr>
        <w:jc w:val="both"/>
        <w:rPr>
          <w:rFonts w:hint="eastAsia"/>
          <w:b/>
          <w:bCs/>
          <w:color w:val="auto"/>
          <w:sz w:val="24"/>
          <w:szCs w:val="32"/>
          <w:highlight w:val="none"/>
          <w:lang w:val="en-US" w:eastAsia="zh-CN"/>
        </w:rPr>
      </w:pPr>
    </w:p>
    <w:tbl>
      <w:tblPr>
        <w:tblStyle w:val="28"/>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1"/>
        <w:gridCol w:w="1832"/>
        <w:gridCol w:w="4752"/>
        <w:gridCol w:w="721"/>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0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建工系装饰装修实训室工程量清单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工程名称：建工系装饰装修实训室工程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地面工程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块料地面（客厅）</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地砖（800*800㎜）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块料地面（过道）</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地砖波打线100㎜+60㎜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块料地面（卧室）</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地砖（800*800）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块料地面（厨房）</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地砖（600*600）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块料地面（卫生间）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地砖（600*600）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w:t>
            </w:r>
          </w:p>
        </w:tc>
        <w:tc>
          <w:tcPr>
            <w:tcW w:w="1800"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天花板工程</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轻钢龙骨石膏板造型吊顶（客厅、过道、主卧）</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9㎜伟业阻燃夹板打底+9㎜可耐福石膏板贴面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1、50系列轻钢龙骨架、8㎜吊杆（间距≤800㎜）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2、板材含“三防”处理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3、造型面不展开，按投影面积计算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暗灯槽制作</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9㎜伟业阻燃夹板打底+9㎜可耐福石膏板贴面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1、15㎜伟业阻燃夹板+木方骨架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2、板材含“三防”处理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窗帘盒制作</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15㎜伟业阻燃夹板打底+9㎜可耐福石膏板贴面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1、50系列轻钢龙骨架、8㎜吊杆（间距≤800㎜）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2、板材含“三防”处理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乳胶漆工程</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白色立邦/多乐士乳胶漆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1、钉头刷防锈漆、环氧树脂补缝、挂网、贴牛皮纸、批内墙腻子3遍，打磨1遍，底漆2遍，面漆2遍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2、按展开面积计算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立面工程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石材门套（玄关）</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大理石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1、基层清理，石材胶干挂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瓷砖脚线（卧室）</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甲供脚线（100*600）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1、基层处理，水泥膏暗贴，缝隙平直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块料墙面（厨房）</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89"/>
                <w:color w:val="auto"/>
                <w:highlight w:val="none"/>
                <w:lang w:val="en-US" w:eastAsia="zh-CN" w:bidi="ar"/>
              </w:rPr>
              <w:t>甲供瓷砖（400*800）</w:t>
            </w:r>
            <w:r>
              <w:rPr>
                <w:rStyle w:val="89"/>
                <w:color w:val="auto"/>
                <w:highlight w:val="none"/>
                <w:lang w:val="en-US" w:eastAsia="zh-CN" w:bidi="ar"/>
              </w:rPr>
              <w:br w:type="textWrapping"/>
            </w:r>
            <w:r>
              <w:rPr>
                <w:rStyle w:val="89"/>
                <w:color w:val="auto"/>
                <w:highlight w:val="none"/>
                <w:lang w:val="en-US" w:eastAsia="zh-CN" w:bidi="ar"/>
              </w:rPr>
              <w:t>1、基层处理，水泥膏铺贴，缝隙平直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乳胶漆工程（卧室）</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白色立邦/多乐士乳胶漆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1、钉头刷防锈漆、环氧树脂补缝、挂网、贴牛皮纸、批内墙腻子3遍，打磨1遍，底漆2遍，面漆2遍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2、门扣除，窗户不扣除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墙面防水（厨卫）</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雨虹水泥基防水1.5㎜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1、基层处理，刷水泥基2遍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2、高度到顶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门窗及定制家具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铝合金窗户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1.6厚断桥铝+中空隔音玻璃+金刚网纱窗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厨房铝框玻璃推拉门（1.9*2.4m）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满足装饰装修学生实训展示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卫生间铝框玻璃平开门（0.7*2m）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满足装饰装修学生实训展示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实木房门（0.9*2.1m）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满足装饰装修学生实训展示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电气及安装工程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施耐德开关总承（箱体不含）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1、以设计图纸参数要求为准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强弱电布管布线</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联塑PVC线管、金龙羽电线、秋叶源/罗格朗超五类网络线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1、标顶高清电视线布线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2、墙面开槽暗敷、天花吊顶内穿管固定于吊杆上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吊灯（客餐厅）</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LED吊灯 4000K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智能家居系统</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能够智能控制灯、窗帘、电视家具等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吸顶灯（卧室）</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LED吸顶灯 1000K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LED灯带</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LED灯带 4000K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单控开关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双控开关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三位单控开关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10A五孔插座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电视插座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网络插座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带WiFi网络插座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智能音响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能支持室内智能家居语音回应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给排水及安装工程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给排水布管</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日丰PPR饮用水管件、联塑U-PVC排水管件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1、墙面开槽暗敷、天花吊顶内穿管固定于吊杆上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马桶</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蹲厕、水箱</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暗装花洒+混水阀</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手持花洒+混水阀</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抽拉式面盆龙头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水槽龙头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洗衣台龙头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单冷龙头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角阀</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拆砖墙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人工拆除，袋装垃圾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砌砖包排水管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灰砂砖砌筑，双面挂网、水泥砂浆批荡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预制门洞砼过梁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宽200㎜以内钢筋砼过梁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阳台外墙砖恢复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物业采购外墙砖，恢复水电管线槽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材料搬运费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材料搬运上楼人工费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垃圾打包装袋下楼费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100.95</w:t>
            </w:r>
          </w:p>
        </w:tc>
      </w:tr>
    </w:tbl>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pStyle w:val="2"/>
        <w:rPr>
          <w:rFonts w:hint="eastAsia"/>
          <w:color w:val="auto"/>
          <w:highlight w:val="none"/>
          <w:lang w:val="en-US" w:eastAsia="zh-CN"/>
        </w:rPr>
      </w:pPr>
    </w:p>
    <w:p>
      <w:pPr>
        <w:jc w:val="both"/>
        <w:rPr>
          <w:rFonts w:hint="eastAsia"/>
          <w:b/>
          <w:bCs/>
          <w:color w:val="auto"/>
          <w:sz w:val="24"/>
          <w:szCs w:val="32"/>
          <w:highlight w:val="none"/>
          <w:lang w:val="en-US" w:eastAsia="zh-CN"/>
        </w:rPr>
      </w:pPr>
    </w:p>
    <w:tbl>
      <w:tblPr>
        <w:tblStyle w:val="28"/>
        <w:tblW w:w="8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3"/>
        <w:gridCol w:w="1218"/>
        <w:gridCol w:w="908"/>
        <w:gridCol w:w="3399"/>
        <w:gridCol w:w="823"/>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37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配套家具家电设备基本参数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用途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物品表述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模型床</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装饰实训展示模型</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1、基本尺寸：200cm*200cm*30cm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2、能够满足学生展示物品使用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橱柜套装（模型）</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装饰实训展示模型</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1、橱柜尺寸：600cm*70cm*75cm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2、烟机灶具：包含烟机和燃气灶具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3、水管系统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4、储物柜等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5、燃气热水器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6、包含基本的做饭用具（展示品）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电视机及背景墙</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能够满足学生展示物品使用；尺寸70以上，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挂墙展示；可以反映视频等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冰箱</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能够满足学生展示物品使用；双开门展示冰箱内部，基本三种基本冷冻功能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智能音箱</w:t>
            </w:r>
          </w:p>
        </w:tc>
        <w:tc>
          <w:tcPr>
            <w:tcW w:w="1014"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能够满足学生展示物品使用；能够智能控制家电设备，智能互动，完成人机交互功能。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能够满足学生展示物品使用；能够满足基本清洗功能；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写字台及台灯</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能够满足学生展示物品使用；能够正常使用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强弱电布线</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链接家电使用</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联塑PVC线管、电线、网络线、标顶高清电视线；墙面开槽暗敷、天花吊顶内穿管固定于吊杆上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墙体切割</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用于安装各类设备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pStyle w:val="2"/>
        <w:rPr>
          <w:rFonts w:hint="eastAsia"/>
          <w:color w:val="auto"/>
          <w:highlight w:val="none"/>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医疗器械无菌检测实训室</w:t>
      </w:r>
    </w:p>
    <w:p>
      <w:pPr>
        <w:spacing w:line="360" w:lineRule="auto"/>
        <w:ind w:firstLine="560" w:firstLineChars="200"/>
        <w:jc w:val="left"/>
        <w:rPr>
          <w:color w:val="auto"/>
          <w:sz w:val="28"/>
          <w:szCs w:val="28"/>
          <w:highlight w:val="none"/>
        </w:rPr>
      </w:pPr>
    </w:p>
    <w:tbl>
      <w:tblPr>
        <w:tblStyle w:val="29"/>
        <w:tblW w:w="9362"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20"/>
        <w:gridCol w:w="4166"/>
        <w:gridCol w:w="103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220"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仪器名称</w:t>
            </w:r>
          </w:p>
        </w:tc>
        <w:tc>
          <w:tcPr>
            <w:tcW w:w="416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参数</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单位</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分析天平</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1、称重范围 ：</w:t>
            </w:r>
            <w:r>
              <w:rPr>
                <w:rFonts w:hint="eastAsia" w:asciiTheme="minorEastAsia" w:hAnsiTheme="minorEastAsia" w:eastAsiaTheme="minorEastAsia" w:cstheme="minorEastAsia"/>
                <w:color w:val="auto"/>
                <w:sz w:val="24"/>
                <w:szCs w:val="24"/>
                <w:highlight w:val="none"/>
              </w:rPr>
              <w:t>0-1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0g</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读数精度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0.1mg</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称盘尺寸</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Φ80mm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净重≥6.8kg</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电源功率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220V/50Hz±1Hz  110V/60Hz/12W</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功能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*自动校正 *积分时间可调 *灵敏度可调 *故障报警 *悬挂称重 *去皮重 *累计称量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*称量单位转换（克、克拉、盎司） *计数功能*打印功能 *RS232C，标准输出接口</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*全透明设计 *称重范围更大 *电源外置 *背光智能控制，读数清晰 *液晶大字体显示</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台</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显微镜</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1、目镜：</w:t>
            </w:r>
          </w:p>
          <w:tbl>
            <w:tblPr>
              <w:tblStyle w:val="28"/>
              <w:tblW w:w="0" w:type="auto"/>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0"/>
              <w:gridCol w:w="1920"/>
              <w:gridCol w:w="150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CellMar>
                  <w:top w:w="0" w:type="dxa"/>
                  <w:left w:w="0" w:type="dxa"/>
                  <w:bottom w:w="0" w:type="dxa"/>
                  <w:right w:w="0" w:type="dxa"/>
                </w:tblCellMar>
              </w:tblPrEx>
              <w:tc>
                <w:tcPr>
                  <w:tcW w:w="84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类 别</w:t>
                  </w:r>
                </w:p>
              </w:tc>
              <w:tc>
                <w:tcPr>
                  <w:tcW w:w="192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放大倍数</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视场直径</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restart"/>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平场目镜</w:t>
                  </w:r>
                </w:p>
              </w:tc>
              <w:tc>
                <w:tcPr>
                  <w:tcW w:w="192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Φ18mm</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continue"/>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192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Φ11mm</w:t>
                  </w:r>
                </w:p>
              </w:tc>
            </w:tr>
          </w:tbl>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2、物镜：</w:t>
            </w:r>
          </w:p>
          <w:tbl>
            <w:tblPr>
              <w:tblStyle w:val="28"/>
              <w:tblW w:w="0" w:type="auto"/>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0"/>
              <w:gridCol w:w="1500"/>
              <w:gridCol w:w="1500"/>
              <w:gridCol w:w="150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CellMar>
                  <w:top w:w="0" w:type="dxa"/>
                  <w:left w:w="0" w:type="dxa"/>
                  <w:bottom w:w="0" w:type="dxa"/>
                  <w:right w:w="0" w:type="dxa"/>
                </w:tblCellMar>
              </w:tblPrEx>
              <w:tc>
                <w:tcPr>
                  <w:tcW w:w="84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类 别</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放大倍率</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数值孔径</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工作距离</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restart"/>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物镜</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0.10</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37.5mm</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continue"/>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0.25</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7.31mm</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continue"/>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40X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0.65</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0.63mm</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continue"/>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100X（油）</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1.25</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0.18mm</w:t>
                  </w:r>
                </w:p>
              </w:tc>
            </w:tr>
          </w:tbl>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3、机械筒长：160mm</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4、放大倍数：40X-1600X</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（显微镜的总放大倍率：显微镜的总放大倍率=物镜倍率×镜筒系数倍率×目镜倍率）</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5、载物台尺寸：移动平台130×130mm　　移动范围：70×30mm，游标：0.1mm　</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6、瞳距：55-75 mm</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7、调焦装置：15 mm粗微动调焦同轴机构 微调格值0.002mm</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8、聚光镜：N.A.1.25可调中阿贝聚光镜带可变光栏</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9、滤色片：蓝、黄、绿</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10、光源：6V20W卤素灯或LED灯，亮度可调</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配备附件显微镜主体 双目镜筒 平场目镜 消色差物镜 滤色片（三色）香柏油 灯泡LED或卤素灯 电源线</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台</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超净工作台</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1、洁净等级：100级@≥0.5μM（美联邦209E），菌落数：≤0.5个/皿·时（Φ90mm培养平皿）；平均风速：0.25～0.45m/s；噪音：≤62dB（A);振动半峰值:≤ 5μM（x、y、z方向）;照度≥300Lx</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2、电源:AC单相220V/50Hz;功率600W;重量≥120Kg</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3、作区尺寸:1140×485×515；适用人数：双人/单面</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高效过滤器规格及数量：1135×460×38×①；荧光灯/紫外灯规格及数量：30W×①/30W×①</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1、洁净度：100级@≥0.5μm(美联邦209E）；菌落数：≤0.5个/皿·时（Φ90㎜培养平皿）；平均风速 门内侧：0.38±0.025m/s，中间：0.26±0.025m/s，里侧：0.27±0.025m/s；前面吸入风速：0.55m±0.025m/s（70%外排）；噪音≤62dB(A)；振动半峰值≤3μm</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2、电源：AC单相220V/50Hz；功耗：1000W；重量≥250㎏；工作区尺寸：1600×650×620</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3、高效过滤器规格及数量:1597×554×50×①</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荧光灯/紫外灯规格及数量30W×①/30W×①</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高压蒸汽灭菌锅</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灭菌有效容积</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100L</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最高工作压力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MPa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最高工作温度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134℃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热均匀度≤±1℃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计时控制范围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0～99分钟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压力温度控制范围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105～134℃</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功率电压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4500W /AC220V.50Hz</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产品特性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设有排放冷气、灭菌、计时、排汽、报警自动功能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安全保护措施：</w:t>
            </w:r>
            <w:r>
              <w:rPr>
                <w:rFonts w:hint="eastAsia" w:asciiTheme="minorEastAsia" w:hAnsiTheme="minorEastAsia" w:eastAsiaTheme="minorEastAsia" w:cstheme="minorEastAsia"/>
                <w:color w:val="auto"/>
                <w:sz w:val="24"/>
                <w:szCs w:val="24"/>
                <w:highlight w:val="none"/>
              </w:rPr>
              <w:t>断水过热保护、电流过载自动切断、超压自动释放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内压大于0.027MPa时门不能打开，具有自锁功能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整机全部用优质不锈钢特制，具有耐腐蚀、易保养、使用寿命长等优点。</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净重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85Kg</w:t>
            </w:r>
          </w:p>
          <w:p>
            <w:pPr>
              <w:spacing w:line="360" w:lineRule="auto"/>
              <w:jc w:val="left"/>
              <w:rPr>
                <w:rFonts w:hint="eastAsia" w:asciiTheme="minorEastAsia" w:hAnsiTheme="minorEastAsia" w:eastAsiaTheme="minorEastAsia" w:cstheme="minorEastAsia"/>
                <w:color w:val="auto"/>
                <w:sz w:val="24"/>
                <w:szCs w:val="24"/>
                <w:highlight w:val="none"/>
              </w:rPr>
            </w:pP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生化培养箱</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1、使用温度范围：5℃-60℃，温度分辨率：0.1℃，温度波动度：±1℃温度分布精确度：±1℃。</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2、内装：不锈钢外装：冷轧钢板，表面静电喷涂，断热材：聚氨酯；加热器：不锈钢加热管，额定功率：0.6KW，电源：220V 50Hz，压缩机：风冷密闭压缩机，制冷剂R134A。</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3、除霜构造：自动，温度设定方式：轻触按键设定，温度控制方式：单段液晶，比例带控制，定时0-9999分钟或小时，传感器Pt100</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4、内容积：250L，隔板承重15Kg，液晶多数据全屏操作显示，停电记忆停电补偿</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智能集菌仪</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1、功 率：120W，转 速：0～220±5rpm，悬架总高度：35cm</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2、机壳材料：L304，不锈钢材料电 源：AC 220V/50Hz</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3、重 量≥15kg</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旋涡混合器</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振荡频率： 30HZ</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工作电压： 220V ± 10% 50HZ</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功率消耗： 40W</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试管容量：最大直径 21X 长 200mm</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冰箱</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1、变频二级节能，总容量≥500升，额定电压220v，噪音38dB</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2、触电保护功能</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220"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洗衣机</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1、滚筒洗衣机LED显示屏，功率70W,容量≥10KG</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2、支持防缠绕功能，智能断电记忆，滚筒自清洁功能</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bl>
    <w:p>
      <w:pP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eastAsia="zh-CN"/>
        </w:rPr>
        <w:t>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”必须满足，否则不予推荐中标候选商</w:t>
      </w:r>
    </w:p>
    <w:p>
      <w:pPr>
        <w:autoSpaceDE w:val="0"/>
        <w:autoSpaceDN w:val="0"/>
        <w:adjustRightInd w:val="0"/>
        <w:spacing w:line="500" w:lineRule="exact"/>
        <w:jc w:val="center"/>
        <w:outlineLvl w:val="0"/>
        <w:rPr>
          <w:color w:val="auto"/>
          <w:sz w:val="36"/>
          <w:szCs w:val="36"/>
          <w:highlight w:val="none"/>
          <w:lang w:val="zh-CN"/>
        </w:rPr>
      </w:pPr>
      <w:bookmarkStart w:id="34" w:name="_Toc21396"/>
      <w:r>
        <w:rPr>
          <w:rFonts w:hint="eastAsia" w:ascii="宋体" w:hAnsi="宋体" w:eastAsia="宋体" w:cs="宋体"/>
          <w:b/>
          <w:bCs/>
          <w:color w:val="auto"/>
          <w:sz w:val="36"/>
          <w:szCs w:val="36"/>
          <w:highlight w:val="none"/>
          <w:lang w:val="zh-CN"/>
        </w:rPr>
        <w:t>第六章 评标办法和评标细则</w:t>
      </w:r>
      <w:bookmarkEnd w:id="29"/>
      <w:bookmarkEnd w:id="30"/>
      <w:bookmarkEnd w:id="31"/>
      <w:bookmarkEnd w:id="32"/>
      <w:bookmarkEnd w:id="33"/>
      <w:bookmarkEnd w:id="34"/>
    </w:p>
    <w:p>
      <w:pPr>
        <w:tabs>
          <w:tab w:val="left" w:pos="792"/>
          <w:tab w:val="left" w:pos="972"/>
          <w:tab w:val="left" w:pos="1152"/>
          <w:tab w:val="left" w:pos="1440"/>
        </w:tabs>
        <w:autoSpaceDE w:val="0"/>
        <w:autoSpaceDN w:val="0"/>
        <w:adjustRightInd w:val="0"/>
        <w:spacing w:line="480" w:lineRule="exact"/>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一、评标原则</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1、坚持公开、公平的原则，公正地对待所有供应商。</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2、坚持招标文件的所有相关规定，择优定标。</w:t>
      </w:r>
    </w:p>
    <w:p>
      <w:pPr>
        <w:spacing w:line="48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二、评标程序和办法</w:t>
      </w:r>
    </w:p>
    <w:p>
      <w:pPr>
        <w:spacing w:line="480" w:lineRule="exact"/>
        <w:ind w:firstLine="508" w:firstLineChars="21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1、资格性审查</w:t>
      </w:r>
    </w:p>
    <w:p>
      <w:pPr>
        <w:spacing w:line="480" w:lineRule="exact"/>
        <w:ind w:firstLine="570"/>
        <w:rPr>
          <w:rFonts w:ascii="宋体" w:hAnsi="宋体" w:eastAsia="宋体" w:cs="宋体"/>
          <w:color w:val="auto"/>
          <w:sz w:val="24"/>
          <w:szCs w:val="28"/>
          <w:highlight w:val="none"/>
          <w:lang w:val="zh-CN"/>
        </w:rPr>
      </w:pPr>
      <w:r>
        <w:rPr>
          <w:rFonts w:hint="eastAsia" w:ascii="宋体" w:hAnsi="宋体" w:eastAsia="宋体" w:cs="宋体"/>
          <w:b/>
          <w:color w:val="auto"/>
          <w:sz w:val="24"/>
          <w:szCs w:val="24"/>
          <w:highlight w:val="none"/>
          <w:lang w:val="zh-CN"/>
        </w:rPr>
        <w:t>采购人或采购代理机构在开标后根据招标文件要求的供应商资格认真核对供应商所提供的资格，并填写《资格性审查表》。</w:t>
      </w:r>
    </w:p>
    <w:p>
      <w:pPr>
        <w:widowControl/>
        <w:spacing w:line="480" w:lineRule="exact"/>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2、资格性审查的内容：</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（1）、法人身份证明；（若为法定代表人参与投标）；</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（2）、被授权人身份证和授权委托书；（若为委托代理人参与投标）；</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（3）、提供具有加载“统一社会信用代码”的有效营业执照；</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根据《关于在政府采购活动中查询及使用信用记录有关问题的通知》(财库[2016]125号)的规定，对列入失信被执行人、重大税收违法失信主体、政府采购严重违法失信行为记录名单的供应商，拒绝参与本项目评审活动；</w:t>
      </w:r>
    </w:p>
    <w:p>
      <w:pPr>
        <w:adjustRightInd w:val="0"/>
        <w:snapToGrid w:val="0"/>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1）查询渠道：“信用中国”网站（www.creditchina.gov.cn）或中国政府采购网（www.ccgp.gov.cn）或中国执行信息公开网”网站（zxgk.court.gov.cn）任意一个网站上的查询记录；</w:t>
      </w:r>
    </w:p>
    <w:p>
      <w:pPr>
        <w:adjustRightInd w:val="0"/>
        <w:snapToGrid w:val="0"/>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2）采购人或采购代理机构查询时间：本项目评审当天；</w:t>
      </w:r>
    </w:p>
    <w:p>
      <w:pPr>
        <w:adjustRightInd w:val="0"/>
        <w:snapToGrid w:val="0"/>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3）信用信息查询记录和证据留存具体方式：</w:t>
      </w:r>
      <w:r>
        <w:rPr>
          <w:rFonts w:hint="eastAsia" w:asciiTheme="minorEastAsia" w:hAnsiTheme="minorEastAsia" w:eastAsiaTheme="minorEastAsia" w:cstheme="minorEastAsia"/>
          <w:b/>
          <w:bCs/>
          <w:color w:val="auto"/>
          <w:sz w:val="24"/>
          <w:szCs w:val="24"/>
          <w:highlight w:val="none"/>
        </w:rPr>
        <w:t>经采购人签字盖章确认的查询结果，作为查询记录和证据，与其他文件一并保存</w:t>
      </w:r>
      <w:r>
        <w:rPr>
          <w:rFonts w:hint="eastAsia" w:ascii="宋体" w:hAnsi="宋体" w:eastAsia="宋体" w:cs="宋体"/>
          <w:b/>
          <w:bCs/>
          <w:color w:val="auto"/>
          <w:sz w:val="24"/>
          <w:szCs w:val="24"/>
          <w:highlight w:val="none"/>
        </w:rPr>
        <w:t>；</w:t>
      </w:r>
    </w:p>
    <w:p>
      <w:pPr>
        <w:pStyle w:val="26"/>
        <w:spacing w:after="0" w:line="480" w:lineRule="exact"/>
        <w:ind w:firstLine="480" w:firstLineChars="200"/>
        <w:rPr>
          <w:color w:val="auto"/>
          <w:highlight w:val="none"/>
          <w:lang w:eastAsia="zh-CN"/>
        </w:rPr>
      </w:pPr>
      <w:r>
        <w:rPr>
          <w:rFonts w:hint="eastAsia" w:ascii="宋体" w:hAnsi="宋体" w:eastAsia="宋体" w:cs="宋体"/>
          <w:b/>
          <w:bCs/>
          <w:color w:val="auto"/>
          <w:sz w:val="24"/>
          <w:szCs w:val="24"/>
          <w:highlight w:val="none"/>
          <w:lang w:eastAsia="zh-CN"/>
        </w:rPr>
        <w:t>4）信用信息的使用原则：供应商信用信息查询由采购人或采购代理机构查询，经采购人签字盖章认定的被列入失信被执行人、重大税收违法失信主体、政府采购严重违法失信行为记录名单的供应商，将拒绝其参与</w:t>
      </w:r>
      <w:r>
        <w:rPr>
          <w:rFonts w:hint="eastAsia" w:ascii="宋体" w:hAnsi="宋体" w:eastAsia="宋体" w:cs="宋体"/>
          <w:b/>
          <w:bCs/>
          <w:color w:val="auto"/>
          <w:sz w:val="24"/>
          <w:szCs w:val="24"/>
          <w:highlight w:val="none"/>
          <w:lang w:val="zh-CN" w:eastAsia="zh-CN"/>
        </w:rPr>
        <w:t>政府采购</w:t>
      </w:r>
      <w:r>
        <w:rPr>
          <w:rFonts w:hint="eastAsia" w:ascii="宋体" w:hAnsi="宋体" w:eastAsia="宋体" w:cs="宋体"/>
          <w:b/>
          <w:bCs/>
          <w:color w:val="auto"/>
          <w:sz w:val="24"/>
          <w:szCs w:val="24"/>
          <w:highlight w:val="none"/>
          <w:lang w:eastAsia="zh-CN"/>
        </w:rPr>
        <w:t>。供应商自行提供的与网站信息不一致的其他证明材料亦不作为评审依据。</w:t>
      </w:r>
    </w:p>
    <w:p>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以上证件投标文件中须附复印件，【第（4）项以采购人评标当天查询的为准】，无需携带任何原件。</w:t>
      </w:r>
    </w:p>
    <w:p>
      <w:pPr>
        <w:widowControl/>
        <w:spacing w:line="480" w:lineRule="exact"/>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3、符合性审查的内容：</w:t>
      </w:r>
    </w:p>
    <w:p>
      <w:pPr>
        <w:pStyle w:val="11"/>
        <w:spacing w:after="0" w:line="480" w:lineRule="exact"/>
        <w:ind w:left="0" w:leftChars="0"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有下列内容之一的不能通过符合性审查：</w:t>
      </w:r>
    </w:p>
    <w:p>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不响应招标文件交货期要求的；</w:t>
      </w:r>
    </w:p>
    <w:p>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（2）投标文件签字和盖章不齐全的；</w:t>
      </w:r>
    </w:p>
    <w:p>
      <w:pPr>
        <w:widowControl/>
        <w:tabs>
          <w:tab w:val="left" w:pos="540"/>
        </w:tabs>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报价有选择性的；</w:t>
      </w:r>
    </w:p>
    <w:p>
      <w:pPr>
        <w:widowControl/>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（4）投标文件内容不符合招标文件第七章投标文件格式要求的</w:t>
      </w:r>
      <w:r>
        <w:rPr>
          <w:rFonts w:hint="eastAsia" w:ascii="宋体" w:hAnsi="宋体" w:eastAsia="宋体" w:cs="宋体"/>
          <w:color w:val="auto"/>
          <w:sz w:val="24"/>
          <w:szCs w:val="24"/>
          <w:highlight w:val="none"/>
          <w:lang w:val="zh-CN"/>
        </w:rPr>
        <w:t>；</w:t>
      </w:r>
    </w:p>
    <w:p>
      <w:pPr>
        <w:spacing w:line="360" w:lineRule="auto"/>
        <w:ind w:firstLine="480" w:firstLineChars="200"/>
        <w:rPr>
          <w:rFonts w:ascii="宋体" w:hAnsi="宋体" w:eastAsia="宋体" w:cs="宋体"/>
          <w:b/>
          <w:bCs/>
          <w:color w:val="auto"/>
          <w:sz w:val="24"/>
          <w:szCs w:val="32"/>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b/>
          <w:bCs/>
          <w:color w:val="auto"/>
          <w:sz w:val="24"/>
          <w:szCs w:val="32"/>
          <w:highlight w:val="none"/>
          <w:lang w:val="zh-CN"/>
        </w:rPr>
        <w:t>不同供应商电子投标文件记录的硬件特征码（网卡MAC地址、CPU序号、硬盘序列号）三个都一致时，视为‘不同供应商的投标文件由同一单位或者个人编制’或‘不同供应商委托同一单位或者个人办理投标事宜’，其投标无效。评标专家应严格按照招标文件要求查看“硬件特征码”相关信息并进行评审，在评标报告中显示“不同供应商电子投标文件制作硬件特征码”是否雷同的分析及判定结果。</w:t>
      </w:r>
    </w:p>
    <w:p>
      <w:pPr>
        <w:pStyle w:val="55"/>
        <w:spacing w:after="0" w:line="480" w:lineRule="exact"/>
        <w:ind w:firstLine="480" w:firstLineChars="2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未通过符合性审查的供应商按废标处理。</w:t>
      </w:r>
    </w:p>
    <w:p>
      <w:pPr>
        <w:pStyle w:val="52"/>
        <w:numPr>
          <w:ilvl w:val="0"/>
          <w:numId w:val="0"/>
        </w:numPr>
        <w:tabs>
          <w:tab w:val="clear" w:pos="709"/>
        </w:tabs>
        <w:spacing w:line="480" w:lineRule="exact"/>
        <w:ind w:firstLine="480" w:firstLineChars="200"/>
        <w:textAlignment w:val="auto"/>
        <w:rPr>
          <w:rFonts w:cs="宋体"/>
          <w:b/>
          <w:bCs/>
          <w:color w:val="auto"/>
          <w:sz w:val="24"/>
          <w:szCs w:val="24"/>
          <w:highlight w:val="none"/>
        </w:rPr>
      </w:pPr>
      <w:r>
        <w:rPr>
          <w:rFonts w:hint="eastAsia" w:cs="宋体"/>
          <w:color w:val="auto"/>
          <w:sz w:val="24"/>
          <w:szCs w:val="28"/>
          <w:highlight w:val="none"/>
        </w:rPr>
        <w:t>评标委员会决定投标书的响应性只根据投标书本身的内容,而不寻求外部的证据。</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4、商务部分</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评标委员会仔细审查供应商投标文件中投标企业商务部分内容，填写商务标评分表</w:t>
      </w:r>
      <w:r>
        <w:rPr>
          <w:rFonts w:hint="eastAsia" w:ascii="宋体" w:hAnsi="宋体" w:eastAsia="宋体" w:cs="宋体"/>
          <w:color w:val="auto"/>
          <w:sz w:val="24"/>
          <w:szCs w:val="24"/>
          <w:highlight w:val="none"/>
        </w:rPr>
        <w:t>。</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5、报价部分</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评标委员会仔细审查供应商的投标报价，按招标文件中有关规定对报价进行修正，填写报价评分表。</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6、质疑</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评标委员会成员依据商务部分、报价部分、其他部分情况发表对各供应商投标文件的意见，对供应商必须澄清的问题，通知供应商书面答疑。</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7、评议比较，推荐中标候选人</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评标委员会对可能遗留的问题或意见澄清、复议后，对供应商的投标报价、技术部分等打分，填写评分汇总表，评标委员会成员填写评标记录表，提供书面评标报告。评标委员会根据排名顺序推荐1-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名中标候选供应商，</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8、确定中标人</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根据政府采购法及采购文件规定的原则，采购人从评委会推荐产生的候选供应商中依照排名推荐顺序确定中标供应商。</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9、发出《中标通知书》</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由采购人发出《中标通知书》，合同签订后报长垣市财政局备案。</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b/>
          <w:bCs/>
          <w:color w:val="auto"/>
          <w:sz w:val="24"/>
          <w:szCs w:val="24"/>
          <w:highlight w:val="none"/>
        </w:rPr>
        <w:t>、评标纪律</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为了加强政府采购的管理和监督，保证招标工作严肃有序地进行，评标委员会成员、采购人及评标工作人员应共同遵照执行以下纪律：</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1、遵循公开、公平、公正和诚实信用的原则，维护国家、采购人及供应商的合法权益。</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2、遵照评标原则，公正、公平地对待所有供应商。</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3、评标工作按规定程序，在评委会内部独立进行。不受任何单位和个人的非法干预或影响。</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4、评标委员会成员如与供应商有私人或经济关系的应当回避。</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5、评标委员会成员应当客观、公正的履行职责，遵守职业道德，对所提出的评审意见承担责任。</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6、评标委员会成员不得与任何供应商或与招标结果有利害关系的人私下接触，不得收受供应商、中介人及其它利害关系人的财物或其它好处。</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7、评标委员会成员和参与评标活动有关的工作人员不得透漏对投标文件的评审和比较、中标候选人的推荐情况以及与评标有关的其它情况。不应将评标资料带出评标会场。</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8、为确保评标工作顺利进行，全体评委应关闭通讯工具；在评标工作结束前，评委不得单独行动。</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9、评标委员会不向落标方解释落标原因</w:t>
      </w:r>
      <w:r>
        <w:rPr>
          <w:rFonts w:hint="eastAsia" w:ascii="宋体" w:hAnsi="宋体" w:eastAsia="宋体" w:cs="宋体"/>
          <w:color w:val="auto"/>
          <w:sz w:val="24"/>
          <w:szCs w:val="24"/>
          <w:highlight w:val="none"/>
        </w:rPr>
        <w:t>。</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四、评审打分标准细则</w:t>
      </w:r>
    </w:p>
    <w:p>
      <w:pPr>
        <w:pStyle w:val="26"/>
        <w:spacing w:line="360" w:lineRule="auto"/>
        <w:ind w:firstLine="480" w:firstLineChars="200"/>
        <w:rPr>
          <w:color w:val="auto"/>
          <w:highlight w:val="none"/>
          <w:lang w:eastAsia="zh-CN"/>
        </w:rPr>
      </w:pPr>
      <w:r>
        <w:rPr>
          <w:rFonts w:hint="eastAsia" w:ascii="宋体" w:hAnsi="宋体" w:eastAsia="宋体" w:cs="宋体"/>
          <w:color w:val="auto"/>
          <w:sz w:val="24"/>
          <w:szCs w:val="24"/>
          <w:highlight w:val="none"/>
          <w:lang w:eastAsia="zh-CN"/>
        </w:rPr>
        <w:t>本项目采用综合评分法，根据《政府采购货物和服务招标投标管理办法财政部令第87号》，使用综合评分法的采购项目，提供相同品牌核心产品且通过资格审查、符合性审查的不同供应商参加同一合同项下投标的，按一家供应商计算，评审后得分最高的同品牌供应商获得中标人推荐资格；</w:t>
      </w:r>
      <w:r>
        <w:rPr>
          <w:rFonts w:hint="eastAsia" w:ascii="宋体" w:hAnsi="宋体" w:eastAsia="宋体" w:cs="宋体"/>
          <w:color w:val="auto"/>
          <w:sz w:val="24"/>
          <w:szCs w:val="24"/>
          <w:highlight w:val="none"/>
          <w:lang w:val="zh-TW" w:eastAsia="zh-TW"/>
        </w:rPr>
        <w:t>评审得分相同的，由采购人或采购人委托评标委员会按照技术评分最高者确定一个</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获得中标人推荐资格，其他同品牌</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不作为中标候选人。</w:t>
      </w:r>
    </w:p>
    <w:p>
      <w:pPr>
        <w:spacing w:line="48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（一）、报价（50分）</w:t>
      </w:r>
    </w:p>
    <w:p>
      <w:pPr>
        <w:numPr>
          <w:ilvl w:val="0"/>
          <w:numId w:val="0"/>
        </w:numPr>
        <w:spacing w:line="360" w:lineRule="auto"/>
        <w:ind w:firstLine="480" w:firstLineChars="20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1、由采购人确定预算价（</w:t>
      </w:r>
      <w:r>
        <w:rPr>
          <w:rFonts w:hint="eastAsia" w:ascii="宋体" w:hAnsi="宋体" w:eastAsia="宋体" w:cs="宋体"/>
          <w:color w:val="auto"/>
          <w:sz w:val="24"/>
          <w:szCs w:val="24"/>
          <w:highlight w:val="none"/>
          <w:lang w:val="en-US" w:eastAsia="zh-CN" w:bidi="ar-SA"/>
        </w:rPr>
        <w:t>A包：1990400.00元；）</w:t>
      </w:r>
      <w:r>
        <w:rPr>
          <w:rFonts w:hint="eastAsia" w:ascii="宋体" w:hAnsi="宋体" w:eastAsia="宋体" w:cs="宋体"/>
          <w:color w:val="auto"/>
          <w:sz w:val="24"/>
          <w:szCs w:val="24"/>
          <w:highlight w:val="none"/>
          <w:lang w:val="zh-CN" w:eastAsia="zh-CN" w:bidi="ar-SA"/>
        </w:rPr>
        <w:t>，供应商投标报价低于或等于预算价的为有效投标报价，高于预算价按废标处理。</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bidi="ar-SA"/>
        </w:rPr>
        <w:t>（2）对于小型、微型企业产品、监狱企业、残疾人福利企业以扣除优惠比</w:t>
      </w:r>
      <w:r>
        <w:rPr>
          <w:rFonts w:hint="eastAsia" w:ascii="宋体" w:hAnsi="宋体" w:eastAsia="宋体" w:cs="宋体"/>
          <w:color w:val="auto"/>
          <w:sz w:val="24"/>
          <w:szCs w:val="24"/>
          <w:highlight w:val="none"/>
          <w:lang w:val="zh-CN"/>
        </w:rPr>
        <w:t>率后的价格作为最后报价参与评标，不作为中标价和合同签约价。</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评标价=投标报价×（1-∑价格折扣幅度）</w:t>
      </w:r>
    </w:p>
    <w:p>
      <w:pPr>
        <w:widowControl/>
        <w:wordWrap w:val="0"/>
        <w:spacing w:line="480" w:lineRule="exact"/>
        <w:ind w:firstLine="482"/>
        <w:jc w:val="left"/>
        <w:rPr>
          <w:color w:val="auto"/>
          <w:highlight w:val="none"/>
        </w:rPr>
      </w:pPr>
      <w:r>
        <w:rPr>
          <w:rFonts w:hint="eastAsia" w:ascii="宋体" w:hAnsi="宋体" w:eastAsia="宋体" w:cs="宋体"/>
          <w:b/>
          <w:color w:val="auto"/>
          <w:sz w:val="24"/>
          <w:szCs w:val="24"/>
          <w:highlight w:val="none"/>
        </w:rPr>
        <w:t>价格调整要素及价格折扣幅度列表：</w:t>
      </w:r>
    </w:p>
    <w:tbl>
      <w:tblPr>
        <w:tblStyle w:val="28"/>
        <w:tblpPr w:leftFromText="180" w:rightFromText="180" w:vertAnchor="text" w:tblpX="257" w:tblpY="99"/>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602" w:type="dxa"/>
            <w:tcBorders>
              <w:bottom w:val="single" w:color="auto" w:sz="4" w:space="0"/>
              <w:right w:val="single" w:color="auto" w:sz="4" w:space="0"/>
            </w:tcBorders>
            <w:noWrap w:val="0"/>
            <w:tcMar>
              <w:top w:w="0" w:type="dxa"/>
              <w:left w:w="108" w:type="dxa"/>
              <w:bottom w:w="0" w:type="dxa"/>
              <w:right w:w="108" w:type="dxa"/>
            </w:tcMar>
            <w:vAlign w:val="top"/>
          </w:tcPr>
          <w:p>
            <w:pPr>
              <w:spacing w:line="500" w:lineRule="exact"/>
              <w:jc w:val="center"/>
              <w:rPr>
                <w:b/>
                <w:bCs/>
                <w:color w:val="auto"/>
                <w:sz w:val="24"/>
                <w:szCs w:val="24"/>
                <w:highlight w:val="none"/>
              </w:rPr>
            </w:pPr>
            <w:r>
              <w:rPr>
                <w:rFonts w:hint="eastAsia" w:ascii="宋体" w:hAnsi="宋体" w:eastAsia="宋体" w:cs="宋体"/>
                <w:b/>
                <w:bCs/>
                <w:color w:val="auto"/>
                <w:sz w:val="24"/>
                <w:szCs w:val="24"/>
                <w:highlight w:val="none"/>
              </w:rPr>
              <w:t>评标价格要素</w:t>
            </w:r>
          </w:p>
        </w:tc>
        <w:tc>
          <w:tcPr>
            <w:tcW w:w="2378" w:type="dxa"/>
            <w:tcBorders>
              <w:left w:val="nil"/>
              <w:bottom w:val="single" w:color="auto" w:sz="4" w:space="0"/>
            </w:tcBorders>
            <w:noWrap w:val="0"/>
            <w:tcMar>
              <w:top w:w="0" w:type="dxa"/>
              <w:bottom w:w="0" w:type="dxa"/>
            </w:tcMar>
            <w:vAlign w:val="top"/>
          </w:tcPr>
          <w:p>
            <w:pPr>
              <w:spacing w:line="500" w:lineRule="exact"/>
              <w:jc w:val="center"/>
              <w:rPr>
                <w:b/>
                <w:bCs/>
                <w:color w:val="auto"/>
                <w:sz w:val="24"/>
                <w:szCs w:val="24"/>
                <w:highlight w:val="none"/>
              </w:rPr>
            </w:pPr>
            <w:r>
              <w:rPr>
                <w:rFonts w:hint="eastAsia" w:ascii="宋体" w:hAnsi="宋体" w:eastAsia="宋体" w:cs="宋体"/>
                <w:b/>
                <w:bCs/>
                <w:color w:val="auto"/>
                <w:sz w:val="24"/>
                <w:szCs w:val="24"/>
                <w:highlight w:val="none"/>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02" w:type="dxa"/>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420" w:lineRule="exact"/>
              <w:jc w:val="center"/>
              <w:rPr>
                <w:color w:val="auto"/>
                <w:sz w:val="24"/>
                <w:szCs w:val="24"/>
                <w:highlight w:val="none"/>
              </w:rPr>
            </w:pPr>
            <w:r>
              <w:rPr>
                <w:rFonts w:hint="eastAsia" w:ascii="宋体" w:hAnsi="宋体" w:eastAsia="宋体"/>
                <w:bCs/>
                <w:color w:val="auto"/>
                <w:sz w:val="24"/>
                <w:szCs w:val="28"/>
                <w:highlight w:val="none"/>
              </w:rPr>
              <w:t>节能产品</w:t>
            </w:r>
          </w:p>
        </w:tc>
        <w:tc>
          <w:tcPr>
            <w:tcW w:w="2378" w:type="dxa"/>
            <w:tcBorders>
              <w:top w:val="single" w:color="auto" w:sz="4" w:space="0"/>
              <w:left w:val="single" w:color="auto" w:sz="4" w:space="0"/>
              <w:bottom w:val="single" w:color="auto" w:sz="4" w:space="0"/>
            </w:tcBorders>
            <w:noWrap w:val="0"/>
            <w:tcMar>
              <w:top w:w="0" w:type="dxa"/>
              <w:bottom w:w="0" w:type="dxa"/>
            </w:tcMar>
            <w:vAlign w:val="center"/>
          </w:tcPr>
          <w:p>
            <w:pPr>
              <w:adjustRightInd w:val="0"/>
              <w:snapToGrid w:val="0"/>
              <w:spacing w:line="420" w:lineRule="exact"/>
              <w:jc w:val="center"/>
              <w:rPr>
                <w:color w:val="auto"/>
                <w:sz w:val="24"/>
                <w:szCs w:val="24"/>
                <w:highlight w:val="none"/>
              </w:rPr>
            </w:pPr>
            <w:r>
              <w:rPr>
                <w:rFonts w:hint="eastAsia" w:ascii="宋体" w:hAnsi="宋体" w:eastAsia="宋体"/>
                <w:bCs/>
                <w:color w:val="auto"/>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02" w:type="dxa"/>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420" w:lineRule="exact"/>
              <w:jc w:val="center"/>
              <w:rPr>
                <w:rFonts w:ascii="宋体" w:hAnsi="宋体" w:eastAsia="宋体" w:cs="宋体"/>
                <w:color w:val="auto"/>
                <w:sz w:val="24"/>
                <w:szCs w:val="24"/>
                <w:highlight w:val="none"/>
              </w:rPr>
            </w:pPr>
            <w:r>
              <w:rPr>
                <w:rFonts w:hint="eastAsia" w:ascii="宋体" w:hAnsi="宋体" w:eastAsia="宋体"/>
                <w:bCs/>
                <w:color w:val="auto"/>
                <w:sz w:val="24"/>
                <w:szCs w:val="28"/>
                <w:highlight w:val="none"/>
              </w:rPr>
              <w:t>环保产品</w:t>
            </w:r>
          </w:p>
        </w:tc>
        <w:tc>
          <w:tcPr>
            <w:tcW w:w="2378" w:type="dxa"/>
            <w:tcBorders>
              <w:top w:val="single" w:color="auto" w:sz="4" w:space="0"/>
              <w:left w:val="single" w:color="auto" w:sz="4" w:space="0"/>
              <w:bottom w:val="single" w:color="auto" w:sz="4" w:space="0"/>
            </w:tcBorders>
            <w:noWrap w:val="0"/>
            <w:tcMar>
              <w:top w:w="0" w:type="dxa"/>
              <w:bottom w:w="0" w:type="dxa"/>
            </w:tcMar>
            <w:vAlign w:val="center"/>
          </w:tcPr>
          <w:p>
            <w:pPr>
              <w:adjustRightInd w:val="0"/>
              <w:snapToGrid w:val="0"/>
              <w:spacing w:line="420" w:lineRule="exact"/>
              <w:jc w:val="center"/>
              <w:rPr>
                <w:rFonts w:ascii="宋体" w:hAnsi="宋体" w:eastAsia="宋体" w:cs="宋体"/>
                <w:color w:val="auto"/>
                <w:sz w:val="24"/>
                <w:szCs w:val="24"/>
                <w:highlight w:val="none"/>
              </w:rPr>
            </w:pPr>
            <w:r>
              <w:rPr>
                <w:rFonts w:hint="eastAsia" w:ascii="宋体" w:hAnsi="宋体" w:eastAsia="宋体"/>
                <w:bCs/>
                <w:color w:val="auto"/>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02" w:type="dxa"/>
            <w:tcBorders>
              <w:top w:val="single" w:color="auto" w:sz="4" w:space="0"/>
              <w:right w:val="single" w:color="auto" w:sz="4" w:space="0"/>
            </w:tcBorders>
            <w:noWrap w:val="0"/>
            <w:tcMar>
              <w:top w:w="0" w:type="dxa"/>
              <w:left w:w="108" w:type="dxa"/>
              <w:bottom w:w="0" w:type="dxa"/>
              <w:right w:w="108" w:type="dxa"/>
            </w:tcMar>
            <w:vAlign w:val="center"/>
          </w:tcPr>
          <w:p>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对小微企业（含监狱企业、残疾人福利性单位）</w:t>
            </w:r>
          </w:p>
        </w:tc>
        <w:tc>
          <w:tcPr>
            <w:tcW w:w="2378" w:type="dxa"/>
            <w:tcBorders>
              <w:top w:val="single" w:color="auto" w:sz="4" w:space="0"/>
              <w:left w:val="single" w:color="auto" w:sz="4" w:space="0"/>
            </w:tcBorders>
            <w:noWrap w:val="0"/>
            <w:tcMar>
              <w:top w:w="0" w:type="dxa"/>
              <w:bottom w:w="0" w:type="dxa"/>
            </w:tcMar>
            <w:vAlign w:val="center"/>
          </w:tcPr>
          <w:p>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
          <w:color w:val="auto"/>
          <w:kern w:val="2"/>
          <w:sz w:val="24"/>
          <w:szCs w:val="24"/>
          <w:highlight w:val="none"/>
        </w:rPr>
        <w:t>注：1.小型和微型企业产品价格给予扣除标准：</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政府采购促进中小企业发展管理办法》（财库[2020]46号）的规定，对于非专门面向中小企业的项目，对小型和微型企业产品的价格给予10%的扣除，用扣除后的价格参与评审。对于中型企业产品的价格不予扣除。（注：小型、微型企业提供中型企业制造的货物的，视同为中型企业。）</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财政部司法部《关于政府采购支持监狱企业发展有关问题的通知》（财库〔2014〕68号）和财政部民政部中国残疾人联合会《关于促进残疾人就业政府采购政策的通知》（财库〔2017〕141号）规定，视同小型、微型企业。本项目对监狱企业、残疾人福利企业作为供应商所提供的本企业生产的产品的价格给予10%的扣除，用扣除后的价格参与评审。</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监狱企业参加政府采购活动时，应当提供由省级以上监狱管理局、戒毒管理局（含新疆生产建设兵团）出具的属于监狱企业的证明文件原件扫描件。符合条件的残疾人福利性单位在参加政府采购活动时，应当提供《残疾人福利性单位声明函》，并对声明的真实性负责。</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根据《关于促进残疾人就业政府采购政策的通知》</w:t>
      </w:r>
      <w:bookmarkStart w:id="35" w:name="sendNo"/>
      <w:r>
        <w:rPr>
          <w:rFonts w:hint="eastAsia" w:ascii="宋体" w:hAnsi="宋体" w:eastAsia="宋体" w:cs="宋体"/>
          <w:bCs/>
          <w:color w:val="auto"/>
          <w:kern w:val="2"/>
          <w:sz w:val="24"/>
          <w:szCs w:val="24"/>
          <w:highlight w:val="none"/>
        </w:rPr>
        <w:t>（财库〔2017〕141号）</w:t>
      </w:r>
      <w:bookmarkEnd w:id="35"/>
      <w:r>
        <w:rPr>
          <w:rFonts w:hint="eastAsia" w:ascii="宋体" w:hAnsi="宋体" w:eastAsia="宋体" w:cs="宋体"/>
          <w:bCs/>
          <w:color w:val="auto"/>
          <w:kern w:val="2"/>
          <w:sz w:val="24"/>
          <w:szCs w:val="24"/>
          <w:highlight w:val="none"/>
        </w:rPr>
        <w:t>第三条：在政府采购活动中，残疾人福利性单位视同小型、微型企业，评审中价格得分享受促进中小企业发展的政府采购政策。</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《关于政府采购支持监狱企业发展有关问题的通知》（财库〔2014〕68号）第二条：在政府采购活动中，监狱企业视同小型、微型企业，评审中得分享受政府采购促进中小企业发展的政府采购政策。</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同一响应人（包括联合体），小微企业、监狱企业、残疾人福利性单位价格扣除优惠只享受一次，不得重复享受。</w:t>
      </w:r>
    </w:p>
    <w:p>
      <w:pPr>
        <w:spacing w:line="480" w:lineRule="exact"/>
        <w:ind w:firstLine="480" w:firstLineChars="200"/>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2.优先采购的节能产品、环境标志产品要求</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依据《财政部 发展改革委 生态环境部 市场监管总局 关于调整优化节能产品 环境标志产品政府采购执行机制的通知》财库〔2019〕9号、《国务院办公厅关于建立政府强制采购节能产品制度的通知》国办发〔2007〕51号文件要求，各潜在供应商在本次招标活动中，所投货物中如有涉及到政府采购强制节能产品时，须提供所投产品对应型号的国家确定的认证机构出具的处于有效期之内的节能产品、环境标志产品认证证书等证明材料。</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注：可通过中国政府采购网（www.ccgp.gov.cn）查询节能产品、环境标志产品政府采购品目清单。</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如果所投产品是国家规定的节能产品及环境标志产品的（强制采购节能产品的除外），给予优先采购的权利，须提供以下材料：</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bCs/>
          <w:color w:val="auto"/>
          <w:kern w:val="2"/>
          <w:sz w:val="24"/>
          <w:szCs w:val="24"/>
          <w:highlight w:val="none"/>
        </w:rPr>
        <w:t>投报产品中属于政府优先采购节能产品、环境标志产品，应提供对应型号的国家确定的认证机构出具的处于有效期之内的节能产品、环境标志产品认证证书等证明材料，否则视为主动放弃被优先采购的权利。</w:t>
      </w:r>
    </w:p>
    <w:p>
      <w:pPr>
        <w:widowControl/>
        <w:wordWrap w:val="0"/>
        <w:spacing w:line="480" w:lineRule="exact"/>
        <w:ind w:firstLine="480"/>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注：在货物采购项目中，供应商提供的货物既有小企业制造货物，也有大型企业制造货物的，不享受《政府采购促进中小企业发展管理办法》规定的中小企业扶持政策。</w:t>
      </w:r>
    </w:p>
    <w:p>
      <w:pPr>
        <w:widowControl/>
        <w:wordWrap w:val="0"/>
        <w:spacing w:line="48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价格分采用低价优先法计算，即满足招标文件要求，评标价最低的为评标基准价，其他供应商的价格分按照下列公式计算：</w:t>
      </w:r>
    </w:p>
    <w:p>
      <w:pPr>
        <w:widowControl/>
        <w:wordWrap w:val="0"/>
        <w:spacing w:line="48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（评标基准价</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评标价）×5</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二、商务及技术部分（共50分） </w:t>
      </w:r>
    </w:p>
    <w:p>
      <w:pPr>
        <w:adjustRightInd w:val="0"/>
        <w:snapToGrid w:val="0"/>
        <w:spacing w:line="360" w:lineRule="auto"/>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1、业绩、实力（</w:t>
      </w: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分）</w:t>
      </w:r>
    </w:p>
    <w:p>
      <w:pPr>
        <w:pStyle w:val="24"/>
        <w:spacing w:beforeAutospacing="0" w:after="120" w:afterAutospacing="0" w:line="360" w:lineRule="auto"/>
        <w:ind w:firstLine="480" w:firstLineChars="200"/>
        <w:jc w:val="both"/>
        <w:rPr>
          <w:rFonts w:eastAsia="宋体" w:cs="宋体"/>
          <w:color w:val="auto"/>
          <w:kern w:val="2"/>
          <w:szCs w:val="24"/>
          <w:highlight w:val="none"/>
        </w:rPr>
      </w:pPr>
      <w:r>
        <w:rPr>
          <w:rFonts w:hint="eastAsia" w:eastAsia="宋体" w:cs="宋体"/>
          <w:color w:val="auto"/>
          <w:kern w:val="2"/>
          <w:szCs w:val="24"/>
          <w:highlight w:val="none"/>
        </w:rPr>
        <w:t>1.1、供应商或生产厂家自20</w:t>
      </w:r>
      <w:r>
        <w:rPr>
          <w:rFonts w:hint="eastAsia" w:eastAsia="宋体" w:cs="宋体"/>
          <w:color w:val="auto"/>
          <w:kern w:val="2"/>
          <w:szCs w:val="24"/>
          <w:highlight w:val="none"/>
          <w:lang w:val="en-US" w:eastAsia="zh-CN"/>
        </w:rPr>
        <w:t>20</w:t>
      </w:r>
      <w:r>
        <w:rPr>
          <w:rFonts w:hint="eastAsia" w:eastAsia="宋体" w:cs="宋体"/>
          <w:color w:val="auto"/>
          <w:kern w:val="2"/>
          <w:szCs w:val="24"/>
          <w:highlight w:val="none"/>
        </w:rPr>
        <w:t>年01月01日以来承担类似项目业绩的，每提供一份得1分，最多得3分。（注：</w:t>
      </w:r>
      <w:r>
        <w:rPr>
          <w:rFonts w:hint="eastAsia" w:eastAsia="宋体" w:cs="宋体"/>
          <w:color w:val="auto"/>
          <w:kern w:val="2"/>
          <w:szCs w:val="24"/>
          <w:highlight w:val="none"/>
          <w:lang w:val="en-US" w:eastAsia="zh-CN"/>
        </w:rPr>
        <w:t>投标</w:t>
      </w:r>
      <w:r>
        <w:rPr>
          <w:rFonts w:hint="eastAsia" w:eastAsia="宋体" w:cs="宋体"/>
          <w:color w:val="auto"/>
          <w:kern w:val="2"/>
          <w:szCs w:val="24"/>
          <w:highlight w:val="none"/>
        </w:rPr>
        <w:t>文件中附合同协议书复印件，否则不得分。）</w:t>
      </w:r>
    </w:p>
    <w:p>
      <w:pPr>
        <w:adjustRightInd w:val="0"/>
        <w:snapToGrid w:val="0"/>
        <w:spacing w:line="360" w:lineRule="auto"/>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2、技术指标和配置（</w:t>
      </w:r>
      <w:r>
        <w:rPr>
          <w:rFonts w:hint="eastAsia" w:ascii="宋体" w:hAnsi="宋体" w:eastAsia="宋体" w:cs="宋体"/>
          <w:b/>
          <w:color w:val="auto"/>
          <w:kern w:val="2"/>
          <w:sz w:val="24"/>
          <w:szCs w:val="24"/>
          <w:highlight w:val="none"/>
          <w:lang w:val="en-US" w:eastAsia="zh-CN"/>
        </w:rPr>
        <w:t>16</w:t>
      </w:r>
      <w:r>
        <w:rPr>
          <w:rFonts w:hint="eastAsia" w:ascii="宋体" w:hAnsi="宋体" w:eastAsia="宋体" w:cs="宋体"/>
          <w:b/>
          <w:color w:val="auto"/>
          <w:kern w:val="2"/>
          <w:sz w:val="24"/>
          <w:szCs w:val="24"/>
          <w:highlight w:val="none"/>
        </w:rPr>
        <w:t>分）</w:t>
      </w:r>
    </w:p>
    <w:p>
      <w:pPr>
        <w:adjustRightInd w:val="0"/>
        <w:snapToGrid w:val="0"/>
        <w:spacing w:line="360" w:lineRule="auto"/>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所投产品技术参数清楚、明确，完全满足或优于招标文件要求得</w:t>
      </w:r>
      <w:r>
        <w:rPr>
          <w:rFonts w:hint="eastAsia" w:ascii="宋体" w:hAnsi="宋体" w:eastAsia="宋体" w:cs="宋体"/>
          <w:color w:val="auto"/>
          <w:kern w:val="2"/>
          <w:sz w:val="24"/>
          <w:szCs w:val="24"/>
          <w:highlight w:val="none"/>
          <w:lang w:val="en-US" w:eastAsia="zh-CN"/>
        </w:rPr>
        <w:t>16</w:t>
      </w:r>
      <w:r>
        <w:rPr>
          <w:rFonts w:hint="eastAsia" w:ascii="宋体" w:hAnsi="宋体" w:eastAsia="宋体" w:cs="宋体"/>
          <w:color w:val="auto"/>
          <w:kern w:val="2"/>
          <w:sz w:val="24"/>
          <w:szCs w:val="24"/>
          <w:highlight w:val="none"/>
        </w:rPr>
        <w:t>分；所投产品每负偏离一项条款技术参数扣</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分，扣完为止。</w:t>
      </w:r>
    </w:p>
    <w:p>
      <w:pPr>
        <w:adjustRightInd w:val="0"/>
        <w:snapToGrid w:val="0"/>
        <w:spacing w:line="360" w:lineRule="auto"/>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3、项目实施方案（</w:t>
      </w:r>
      <w:r>
        <w:rPr>
          <w:rFonts w:hint="eastAsia" w:ascii="宋体" w:hAnsi="宋体" w:eastAsia="宋体" w:cs="宋体"/>
          <w:b/>
          <w:color w:val="auto"/>
          <w:kern w:val="2"/>
          <w:sz w:val="24"/>
          <w:szCs w:val="24"/>
          <w:highlight w:val="none"/>
          <w:lang w:val="en-US" w:eastAsia="zh-CN"/>
        </w:rPr>
        <w:t>20</w:t>
      </w:r>
      <w:r>
        <w:rPr>
          <w:rFonts w:hint="eastAsia" w:ascii="宋体" w:hAnsi="宋体" w:eastAsia="宋体" w:cs="宋体"/>
          <w:b/>
          <w:color w:val="auto"/>
          <w:kern w:val="2"/>
          <w:sz w:val="24"/>
          <w:szCs w:val="24"/>
          <w:highlight w:val="none"/>
        </w:rPr>
        <w:t>分）</w:t>
      </w:r>
    </w:p>
    <w:p>
      <w:pPr>
        <w:pStyle w:val="24"/>
        <w:spacing w:beforeAutospacing="0" w:after="120" w:afterAutospacing="0" w:line="360" w:lineRule="auto"/>
        <w:ind w:firstLine="480" w:firstLineChars="200"/>
        <w:jc w:val="both"/>
        <w:rPr>
          <w:rFonts w:eastAsia="宋体" w:cs="宋体"/>
          <w:color w:val="auto"/>
          <w:szCs w:val="24"/>
          <w:highlight w:val="none"/>
        </w:rPr>
      </w:pPr>
      <w:r>
        <w:rPr>
          <w:rFonts w:hint="eastAsia" w:eastAsia="宋体" w:cs="宋体"/>
          <w:color w:val="auto"/>
          <w:kern w:val="2"/>
          <w:szCs w:val="24"/>
          <w:highlight w:val="none"/>
        </w:rPr>
        <w:t>供货进度安排及相应保证措施详细合理，能够在承诺的时间内按质按量完成项目，优的得10分，良的得5分，差的不得分。</w:t>
      </w:r>
    </w:p>
    <w:p>
      <w:pPr>
        <w:pStyle w:val="24"/>
        <w:spacing w:beforeAutospacing="0" w:after="120" w:afterAutospacing="0" w:line="360" w:lineRule="auto"/>
        <w:ind w:firstLine="480" w:firstLineChars="200"/>
        <w:jc w:val="both"/>
        <w:rPr>
          <w:rFonts w:eastAsia="宋体" w:cs="宋体"/>
          <w:color w:val="auto"/>
          <w:szCs w:val="24"/>
          <w:highlight w:val="none"/>
        </w:rPr>
      </w:pPr>
      <w:r>
        <w:rPr>
          <w:rFonts w:hint="eastAsia" w:eastAsia="宋体" w:cs="宋体"/>
          <w:color w:val="auto"/>
          <w:kern w:val="2"/>
          <w:szCs w:val="24"/>
          <w:highlight w:val="none"/>
        </w:rPr>
        <w:t>安装、检测、调试措施完善，遇到紧急情况时有完备的应急处理措施，能保证产品正常使用，优的得5分，良的得2分，差的不得分。</w:t>
      </w:r>
    </w:p>
    <w:p>
      <w:pPr>
        <w:pStyle w:val="24"/>
        <w:spacing w:beforeAutospacing="0" w:after="120" w:afterAutospacing="0" w:line="360" w:lineRule="auto"/>
        <w:ind w:firstLine="480" w:firstLineChars="200"/>
        <w:jc w:val="both"/>
        <w:rPr>
          <w:rFonts w:eastAsia="宋体" w:cs="宋体"/>
          <w:color w:val="auto"/>
          <w:szCs w:val="24"/>
          <w:highlight w:val="none"/>
        </w:rPr>
      </w:pPr>
      <w:r>
        <w:rPr>
          <w:rFonts w:hint="eastAsia" w:eastAsia="宋体" w:cs="宋体"/>
          <w:color w:val="auto"/>
          <w:kern w:val="2"/>
          <w:szCs w:val="24"/>
          <w:highlight w:val="none"/>
        </w:rPr>
        <w:t>针对项目实施提出的人员安排方案，人员分工合理、责任明确，优的得5分，良的得2分，差的不得分。</w:t>
      </w:r>
    </w:p>
    <w:p>
      <w:pPr>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4、售后服务及培训：(</w:t>
      </w:r>
      <w:r>
        <w:rPr>
          <w:rFonts w:hint="eastAsia" w:ascii="宋体" w:hAnsi="宋体" w:eastAsia="宋体" w:cs="宋体"/>
          <w:b/>
          <w:color w:val="auto"/>
          <w:kern w:val="2"/>
          <w:sz w:val="24"/>
          <w:szCs w:val="24"/>
          <w:highlight w:val="none"/>
          <w:lang w:val="en-US" w:eastAsia="zh-CN"/>
        </w:rPr>
        <w:t>11</w:t>
      </w:r>
      <w:r>
        <w:rPr>
          <w:rFonts w:hint="eastAsia" w:ascii="宋体" w:hAnsi="宋体" w:eastAsia="宋体" w:cs="宋体"/>
          <w:b/>
          <w:color w:val="auto"/>
          <w:kern w:val="2"/>
          <w:sz w:val="24"/>
          <w:szCs w:val="24"/>
          <w:highlight w:val="none"/>
        </w:rPr>
        <w:t>分)</w:t>
      </w:r>
    </w:p>
    <w:p>
      <w:pPr>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投标人提供所投产品制造商有专职的教师顾问团队（附社保证明及具备教师资格证、国培计划证书等）及稳定的讲师得4分，投标人提供所投产品制造商具备丰富的产品培训活动执行相关资源，包括但不限于线下面对面培训，可借助网络平台做到未到场或教师复学培训全覆盖。提供线上培训管理平台检测报告和软件著作权得2分。</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）售后服务方案：售后服务网点的设定、日常维护、项目交付用户后出现故障响应时间及措施、备品备件计划，质量保证范围。</w:t>
      </w:r>
    </w:p>
    <w:p>
      <w:pPr>
        <w:adjustRightInd w:val="0"/>
        <w:snapToGrid w:val="0"/>
        <w:spacing w:line="360" w:lineRule="auto"/>
        <w:ind w:left="640" w:leftChars="200"/>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①售后服务方案内容详细、合理的得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p>
    <w:p>
      <w:pPr>
        <w:adjustRightInd w:val="0"/>
        <w:snapToGrid w:val="0"/>
        <w:spacing w:line="360" w:lineRule="auto"/>
        <w:ind w:left="640" w:leftChars="200"/>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②售后服务方案内容相对详细，但不够合理的得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p>
    <w:p>
      <w:pPr>
        <w:adjustRightInd w:val="0"/>
        <w:snapToGrid w:val="0"/>
        <w:spacing w:line="360" w:lineRule="auto"/>
        <w:ind w:left="640" w:leftChars="200"/>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③售后服务方案内容不合理、简单的不得分；</w:t>
      </w:r>
    </w:p>
    <w:p>
      <w:pPr>
        <w:numPr>
          <w:ilvl w:val="0"/>
          <w:numId w:val="4"/>
        </w:numPr>
        <w:adjustRightInd w:val="0"/>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针对项目提供的培训方案，培训计划和内容考虑周全，合理、可行。培训内容有层次，培训方式适当，能够保障使用单位熟练操作维护和正常使用。优的得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分，良的得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分，差的不得分。</w:t>
      </w:r>
    </w:p>
    <w:p>
      <w:pPr>
        <w:numPr>
          <w:ilvl w:val="0"/>
          <w:numId w:val="4"/>
        </w:numPr>
        <w:adjustRightInd w:val="0"/>
        <w:snapToGrid w:val="0"/>
        <w:spacing w:line="360" w:lineRule="auto"/>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为满足岗课赛证融合，数字互动营销实训系统制造商有为全国市场营销技能竞赛提供技术支持服务的经验，加</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p>
    <w:p>
      <w:pPr>
        <w:autoSpaceDE w:val="0"/>
        <w:autoSpaceDN w:val="0"/>
        <w:adjustRightInd w:val="0"/>
        <w:spacing w:line="360" w:lineRule="auto"/>
        <w:ind w:right="-153" w:firstLine="480" w:firstLineChars="200"/>
        <w:jc w:val="left"/>
        <w:rPr>
          <w:rFonts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5</w:t>
      </w:r>
      <w:r>
        <w:rPr>
          <w:rFonts w:hint="eastAsia" w:asciiTheme="minorEastAsia" w:hAnsiTheme="minorEastAsia" w:eastAsiaTheme="minorEastAsia" w:cstheme="minorEastAsia"/>
          <w:b/>
          <w:color w:val="auto"/>
          <w:sz w:val="24"/>
          <w:szCs w:val="24"/>
          <w:highlight w:val="none"/>
          <w:lang w:val="zh-CN"/>
        </w:rPr>
        <w:t>、特别说明</w:t>
      </w:r>
      <w:r>
        <w:rPr>
          <w:rFonts w:hint="eastAsia" w:asciiTheme="minorEastAsia" w:hAnsiTheme="minorEastAsia" w:eastAsiaTheme="minorEastAsia" w:cstheme="minorEastAsia"/>
          <w:color w:val="auto"/>
          <w:sz w:val="24"/>
          <w:szCs w:val="24"/>
          <w:highlight w:val="none"/>
          <w:lang w:val="zh-CN"/>
        </w:rPr>
        <w:t>：</w:t>
      </w:r>
    </w:p>
    <w:p>
      <w:pPr>
        <w:spacing w:line="360"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.1供应商在投标文件中出具的资质证明文件材料复印件(加盖单位章)应是真实、有效的，否则经查证有虚假的按废标处理。</w:t>
      </w:r>
    </w:p>
    <w:p>
      <w:pPr>
        <w:spacing w:line="360"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.2上述各评审，均由评标委员会一致认定，如评标委员会在某一项商务或技术指标的细微负偏差或重大偏差的认定上出现意见分歧，由评标委员会进行表决，以少数服从多数决定原则确定，并作记录。</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5.3在评标过程中，经评标委员会认定某项技术参数指标确实具有唯一的指向性，对货物不构成实质性影响的，该项技术参数将不列入评价标准。</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5.4如评标委员会一致认为最低报价或某些分项报价明显不合理，有降低质量、不能诚信履约的可能时，评标委员会有权通知供应商进行解释。如供应商未能在规定期限内作出解释，或所作解释不合理，经评标委员会取得一致意见后，对该供应商将不予推荐。</w:t>
      </w:r>
    </w:p>
    <w:p>
      <w:pPr>
        <w:spacing w:line="50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numPr>
          <w:ilvl w:val="0"/>
          <w:numId w:val="5"/>
        </w:numPr>
        <w:autoSpaceDE w:val="0"/>
        <w:autoSpaceDN w:val="0"/>
        <w:adjustRightInd w:val="0"/>
        <w:spacing w:line="500" w:lineRule="exact"/>
        <w:jc w:val="center"/>
        <w:outlineLvl w:val="0"/>
        <w:rPr>
          <w:rFonts w:ascii="宋体" w:hAnsi="宋体" w:eastAsia="宋体" w:cs="宋体"/>
          <w:b/>
          <w:bCs/>
          <w:color w:val="auto"/>
          <w:sz w:val="36"/>
          <w:szCs w:val="36"/>
          <w:highlight w:val="none"/>
          <w:lang w:val="zh-CN"/>
        </w:rPr>
      </w:pPr>
      <w:bookmarkStart w:id="36" w:name="_Toc31064"/>
      <w:bookmarkStart w:id="37" w:name="_Toc72253193"/>
      <w:bookmarkStart w:id="38" w:name="_Toc30924"/>
      <w:bookmarkStart w:id="39" w:name="_Toc2663"/>
      <w:bookmarkStart w:id="40" w:name="_Toc23019"/>
      <w:bookmarkStart w:id="41" w:name="_Toc10957"/>
      <w:r>
        <w:rPr>
          <w:rFonts w:hint="eastAsia" w:ascii="宋体" w:hAnsi="宋体" w:eastAsia="宋体" w:cs="宋体"/>
          <w:b/>
          <w:bCs/>
          <w:color w:val="auto"/>
          <w:sz w:val="36"/>
          <w:szCs w:val="36"/>
          <w:highlight w:val="none"/>
          <w:lang w:val="zh-CN"/>
        </w:rPr>
        <w:t>投标文件格式</w:t>
      </w:r>
      <w:bookmarkEnd w:id="36"/>
      <w:bookmarkEnd w:id="37"/>
      <w:bookmarkEnd w:id="38"/>
      <w:bookmarkEnd w:id="39"/>
      <w:bookmarkEnd w:id="40"/>
      <w:bookmarkEnd w:id="41"/>
    </w:p>
    <w:p>
      <w:pPr>
        <w:autoSpaceDE w:val="0"/>
        <w:autoSpaceDN w:val="0"/>
        <w:adjustRightInd w:val="0"/>
        <w:spacing w:line="500" w:lineRule="exact"/>
        <w:rPr>
          <w:rFonts w:ascii="宋体" w:hAnsi="宋体" w:eastAsia="宋体" w:cs="宋体"/>
          <w:b/>
          <w:color w:val="auto"/>
          <w:sz w:val="28"/>
          <w:szCs w:val="28"/>
          <w:highlight w:val="none"/>
        </w:rPr>
      </w:pPr>
    </w:p>
    <w:p>
      <w:pPr>
        <w:autoSpaceDE w:val="0"/>
        <w:autoSpaceDN w:val="0"/>
        <w:adjustRightInd w:val="0"/>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8"/>
          <w:szCs w:val="28"/>
          <w:highlight w:val="none"/>
        </w:rPr>
        <w:t>供应商提交投标文件须知：</w:t>
      </w:r>
    </w:p>
    <w:p>
      <w:pPr>
        <w:widowControl/>
        <w:spacing w:before="19" w:line="360" w:lineRule="auto"/>
        <w:ind w:firstLine="47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1、请供应商按照供应商须知表中有关内容、顺序编制投标文件，并请编制目录及页码，否则可能将影响对投标文件的评价。</w:t>
      </w:r>
    </w:p>
    <w:p>
      <w:pPr>
        <w:pStyle w:val="52"/>
        <w:numPr>
          <w:ilvl w:val="0"/>
          <w:numId w:val="0"/>
        </w:numPr>
        <w:spacing w:line="360" w:lineRule="auto"/>
        <w:ind w:left="16" w:firstLine="463"/>
        <w:rPr>
          <w:b/>
          <w:color w:val="auto"/>
          <w:sz w:val="24"/>
          <w:szCs w:val="24"/>
          <w:highlight w:val="none"/>
        </w:rPr>
      </w:pPr>
      <w:r>
        <w:rPr>
          <w:rFonts w:hint="eastAsia"/>
          <w:b/>
          <w:color w:val="auto"/>
          <w:sz w:val="24"/>
          <w:szCs w:val="24"/>
          <w:highlight w:val="none"/>
        </w:rPr>
        <w:t>2、第七章所列内容供应商应按要求提供，要求回答的全部问题和信息均应做出正面回答，否则将视为无效投标。</w:t>
      </w:r>
    </w:p>
    <w:p>
      <w:pPr>
        <w:pStyle w:val="52"/>
        <w:numPr>
          <w:ilvl w:val="0"/>
          <w:numId w:val="0"/>
        </w:numPr>
        <w:spacing w:line="360" w:lineRule="auto"/>
        <w:ind w:left="560" w:hanging="240"/>
        <w:rPr>
          <w:color w:val="auto"/>
          <w:sz w:val="24"/>
          <w:szCs w:val="24"/>
          <w:highlight w:val="none"/>
        </w:rPr>
      </w:pPr>
      <w:r>
        <w:rPr>
          <w:rFonts w:hint="eastAsia"/>
          <w:color w:val="auto"/>
          <w:sz w:val="24"/>
          <w:szCs w:val="24"/>
          <w:highlight w:val="none"/>
        </w:rPr>
        <w:t xml:space="preserve"> 3、资格声明的签字人应保证全部声明和问题的回答是真实的和准确的。</w:t>
      </w:r>
    </w:p>
    <w:p>
      <w:pPr>
        <w:pStyle w:val="52"/>
        <w:numPr>
          <w:ilvl w:val="0"/>
          <w:numId w:val="0"/>
        </w:numPr>
        <w:spacing w:line="360" w:lineRule="auto"/>
        <w:rPr>
          <w:color w:val="auto"/>
          <w:sz w:val="24"/>
          <w:szCs w:val="24"/>
          <w:highlight w:val="none"/>
        </w:rPr>
      </w:pPr>
      <w:r>
        <w:rPr>
          <w:rFonts w:hint="eastAsia"/>
          <w:color w:val="auto"/>
          <w:sz w:val="24"/>
          <w:szCs w:val="24"/>
          <w:highlight w:val="none"/>
        </w:rPr>
        <w:t xml:space="preserve">    4、评标委员会将应用供应商提交的资料并根据自己的判断，决定供应商履行合同的合格性及能力。</w:t>
      </w:r>
    </w:p>
    <w:p>
      <w:pPr>
        <w:pStyle w:val="52"/>
        <w:numPr>
          <w:ilvl w:val="0"/>
          <w:numId w:val="0"/>
        </w:numPr>
        <w:spacing w:line="360" w:lineRule="auto"/>
        <w:rPr>
          <w:color w:val="auto"/>
          <w:sz w:val="24"/>
          <w:szCs w:val="24"/>
          <w:highlight w:val="none"/>
        </w:rPr>
      </w:pPr>
      <w:r>
        <w:rPr>
          <w:rFonts w:hint="eastAsia"/>
          <w:color w:val="auto"/>
          <w:sz w:val="24"/>
          <w:szCs w:val="24"/>
          <w:highlight w:val="none"/>
        </w:rPr>
        <w:t xml:space="preserve">    5、供应商提交的材料将被保密保存但不退还。</w:t>
      </w:r>
    </w:p>
    <w:p>
      <w:pPr>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6、全部文件应按供应商须知中规定的语言提交。</w:t>
      </w:r>
    </w:p>
    <w:p>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tabs>
          <w:tab w:val="left" w:pos="1440"/>
        </w:tabs>
        <w:spacing w:line="500" w:lineRule="exact"/>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投标文件封面格式</w:t>
      </w:r>
    </w:p>
    <w:p>
      <w:pPr>
        <w:tabs>
          <w:tab w:val="left" w:pos="1440"/>
        </w:tabs>
        <w:spacing w:line="500" w:lineRule="exact"/>
        <w:jc w:val="center"/>
        <w:rPr>
          <w:rFonts w:ascii="宋体" w:hAnsi="宋体" w:eastAsia="宋体" w:cs="宋体"/>
          <w:b/>
          <w:color w:val="auto"/>
          <w:sz w:val="30"/>
          <w:szCs w:val="30"/>
          <w:highlight w:val="none"/>
        </w:rPr>
      </w:pPr>
    </w:p>
    <w:p>
      <w:pPr>
        <w:tabs>
          <w:tab w:val="left" w:pos="1440"/>
        </w:tabs>
        <w:spacing w:line="500" w:lineRule="exact"/>
        <w:jc w:val="center"/>
        <w:rPr>
          <w:rFonts w:hint="default" w:ascii="宋体" w:hAnsi="宋体" w:eastAsia="宋体" w:cs="宋体"/>
          <w:b/>
          <w:color w:val="auto"/>
          <w:sz w:val="36"/>
          <w:szCs w:val="48"/>
          <w:highlight w:val="none"/>
          <w:lang w:val="en-US" w:eastAsia="zh-CN"/>
        </w:rPr>
      </w:pPr>
      <w:r>
        <w:rPr>
          <w:rFonts w:hint="eastAsia" w:ascii="宋体" w:hAnsi="宋体" w:eastAsia="宋体" w:cs="宋体"/>
          <w:b/>
          <w:color w:val="auto"/>
          <w:sz w:val="36"/>
          <w:szCs w:val="48"/>
          <w:highlight w:val="none"/>
          <w:u w:val="single"/>
        </w:rPr>
        <w:t xml:space="preserve">               （项目名称）</w:t>
      </w:r>
      <w:r>
        <w:rPr>
          <w:rFonts w:hint="eastAsia" w:ascii="宋体" w:hAnsi="宋体" w:eastAsia="宋体" w:cs="宋体"/>
          <w:b/>
          <w:color w:val="auto"/>
          <w:sz w:val="36"/>
          <w:szCs w:val="48"/>
          <w:highlight w:val="none"/>
          <w:u w:val="single"/>
          <w:lang w:val="en-US" w:eastAsia="zh-CN"/>
        </w:rPr>
        <w:t xml:space="preserve">  包</w:t>
      </w:r>
    </w:p>
    <w:p>
      <w:pPr>
        <w:tabs>
          <w:tab w:val="left" w:pos="1440"/>
        </w:tabs>
        <w:spacing w:line="500" w:lineRule="exact"/>
        <w:jc w:val="center"/>
        <w:rPr>
          <w:rFonts w:ascii="宋体" w:hAnsi="宋体" w:eastAsia="宋体" w:cs="宋体"/>
          <w:b/>
          <w:color w:val="auto"/>
          <w:sz w:val="48"/>
          <w:szCs w:val="48"/>
          <w:highlight w:val="none"/>
        </w:rPr>
      </w:pPr>
    </w:p>
    <w:p>
      <w:pPr>
        <w:tabs>
          <w:tab w:val="left" w:pos="1440"/>
        </w:tabs>
        <w:snapToGrid w:val="0"/>
        <w:jc w:val="center"/>
        <w:rPr>
          <w:rFonts w:ascii="宋体" w:hAnsi="宋体" w:eastAsia="宋体" w:cs="宋体"/>
          <w:b/>
          <w:color w:val="auto"/>
          <w:sz w:val="48"/>
          <w:szCs w:val="48"/>
          <w:highlight w:val="none"/>
        </w:rPr>
      </w:pPr>
    </w:p>
    <w:p>
      <w:pPr>
        <w:pStyle w:val="55"/>
        <w:ind w:firstLine="200"/>
        <w:rPr>
          <w:rFonts w:ascii="宋体" w:hAnsi="宋体" w:eastAsia="宋体" w:cs="宋体"/>
          <w:color w:val="auto"/>
          <w:highlight w:val="none"/>
          <w:lang w:eastAsia="zh-CN"/>
        </w:rPr>
      </w:pPr>
    </w:p>
    <w:p>
      <w:pPr>
        <w:pStyle w:val="55"/>
        <w:ind w:firstLine="200"/>
        <w:rPr>
          <w:rFonts w:ascii="宋体" w:hAnsi="宋体" w:eastAsia="宋体" w:cs="宋体"/>
          <w:color w:val="auto"/>
          <w:highlight w:val="none"/>
          <w:lang w:eastAsia="zh-CN"/>
        </w:rPr>
      </w:pPr>
    </w:p>
    <w:p>
      <w:pPr>
        <w:tabs>
          <w:tab w:val="left" w:pos="1440"/>
        </w:tabs>
        <w:snapToGrid w:val="0"/>
        <w:jc w:val="center"/>
        <w:rPr>
          <w:rFonts w:ascii="宋体" w:hAnsi="宋体" w:eastAsia="宋体" w:cs="宋体"/>
          <w:b/>
          <w:color w:val="auto"/>
          <w:sz w:val="72"/>
          <w:szCs w:val="48"/>
          <w:highlight w:val="none"/>
        </w:rPr>
      </w:pPr>
      <w:r>
        <w:rPr>
          <w:rFonts w:hint="eastAsia" w:ascii="宋体" w:hAnsi="宋体" w:eastAsia="宋体" w:cs="宋体"/>
          <w:b/>
          <w:color w:val="auto"/>
          <w:sz w:val="72"/>
          <w:szCs w:val="48"/>
          <w:highlight w:val="none"/>
        </w:rPr>
        <w:t>投标文件</w:t>
      </w:r>
    </w:p>
    <w:p>
      <w:pPr>
        <w:tabs>
          <w:tab w:val="left" w:pos="1440"/>
        </w:tabs>
        <w:spacing w:line="50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（采购项目编号：长财招标采购-202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158</w:t>
      </w:r>
      <w:r>
        <w:rPr>
          <w:rFonts w:hint="eastAsia" w:ascii="宋体" w:hAnsi="宋体" w:eastAsia="宋体" w:cs="宋体"/>
          <w:b/>
          <w:color w:val="auto"/>
          <w:sz w:val="24"/>
          <w:szCs w:val="24"/>
          <w:highlight w:val="none"/>
          <w:lang w:val="zh-CN"/>
        </w:rPr>
        <w:t>）</w:t>
      </w:r>
    </w:p>
    <w:p>
      <w:pPr>
        <w:tabs>
          <w:tab w:val="left" w:pos="1440"/>
        </w:tabs>
        <w:spacing w:line="50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（项目交易编号：长交采2022ZB0</w:t>
      </w:r>
      <w:r>
        <w:rPr>
          <w:rFonts w:hint="eastAsia" w:ascii="宋体" w:hAnsi="宋体" w:eastAsia="宋体" w:cs="宋体"/>
          <w:b/>
          <w:color w:val="auto"/>
          <w:sz w:val="24"/>
          <w:szCs w:val="24"/>
          <w:highlight w:val="none"/>
          <w:lang w:val="en-US" w:eastAsia="zh-CN"/>
        </w:rPr>
        <w:t>69</w:t>
      </w:r>
      <w:r>
        <w:rPr>
          <w:rFonts w:hint="eastAsia" w:ascii="宋体" w:hAnsi="宋体" w:eastAsia="宋体" w:cs="宋体"/>
          <w:b/>
          <w:color w:val="auto"/>
          <w:sz w:val="24"/>
          <w:szCs w:val="24"/>
          <w:highlight w:val="none"/>
        </w:rPr>
        <w:t>号）</w:t>
      </w:r>
    </w:p>
    <w:p>
      <w:pPr>
        <w:tabs>
          <w:tab w:val="left" w:pos="1440"/>
        </w:tabs>
        <w:spacing w:line="500" w:lineRule="exact"/>
        <w:jc w:val="center"/>
        <w:rPr>
          <w:rFonts w:ascii="宋体" w:hAnsi="宋体" w:eastAsia="宋体" w:cs="宋体"/>
          <w:b/>
          <w:color w:val="auto"/>
          <w:sz w:val="36"/>
          <w:szCs w:val="36"/>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pStyle w:val="55"/>
        <w:ind w:firstLine="200"/>
        <w:rPr>
          <w:rFonts w:ascii="宋体" w:hAnsi="宋体" w:eastAsia="宋体" w:cs="宋体"/>
          <w:color w:val="auto"/>
          <w:highlight w:val="none"/>
          <w:lang w:eastAsia="zh-CN"/>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2400" w:firstLineChars="8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供应商全称（加盖公章）：</w:t>
      </w:r>
    </w:p>
    <w:p>
      <w:pPr>
        <w:tabs>
          <w:tab w:val="left" w:pos="1440"/>
        </w:tabs>
        <w:spacing w:line="500" w:lineRule="exact"/>
        <w:ind w:firstLine="2400" w:firstLineChars="8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供应商地址：</w:t>
      </w:r>
    </w:p>
    <w:p>
      <w:pPr>
        <w:tabs>
          <w:tab w:val="left" w:pos="1440"/>
        </w:tabs>
        <w:spacing w:line="500" w:lineRule="exact"/>
        <w:ind w:firstLine="2400" w:firstLineChars="8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法定代表人或</w:t>
      </w:r>
      <w:r>
        <w:rPr>
          <w:rFonts w:hint="eastAsia" w:ascii="宋体" w:hAnsi="宋体" w:eastAsia="宋体" w:cs="宋体"/>
          <w:b/>
          <w:color w:val="auto"/>
          <w:sz w:val="30"/>
          <w:szCs w:val="30"/>
          <w:highlight w:val="none"/>
          <w:lang w:val="zh-CN"/>
        </w:rPr>
        <w:t>委托代理人</w:t>
      </w:r>
      <w:r>
        <w:rPr>
          <w:rFonts w:hint="eastAsia" w:ascii="宋体" w:hAnsi="宋体" w:eastAsia="宋体" w:cs="宋体"/>
          <w:b/>
          <w:color w:val="auto"/>
          <w:sz w:val="30"/>
          <w:szCs w:val="30"/>
          <w:highlight w:val="none"/>
        </w:rPr>
        <w:t>（签字或盖章）：</w:t>
      </w:r>
    </w:p>
    <w:p>
      <w:pPr>
        <w:tabs>
          <w:tab w:val="left" w:pos="1440"/>
        </w:tabs>
        <w:spacing w:line="500" w:lineRule="exact"/>
        <w:ind w:firstLine="2400" w:firstLineChars="8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  年  月  日</w:t>
      </w:r>
    </w:p>
    <w:p>
      <w:pPr>
        <w:jc w:val="center"/>
        <w:outlineLvl w:val="1"/>
        <w:rPr>
          <w:rFonts w:hint="eastAsia" w:asciiTheme="minorEastAsia" w:hAnsiTheme="minorEastAsia" w:eastAsiaTheme="minorEastAsia" w:cstheme="minorEastAsia"/>
          <w:b/>
          <w:color w:val="auto"/>
          <w:sz w:val="24"/>
          <w:szCs w:val="24"/>
          <w:highlight w:val="none"/>
        </w:rPr>
      </w:pPr>
      <w:r>
        <w:rPr>
          <w:rFonts w:hint="eastAsia" w:cs="宋体"/>
          <w:color w:val="auto"/>
          <w:sz w:val="30"/>
          <w:szCs w:val="30"/>
          <w:highlight w:val="none"/>
        </w:rPr>
        <w:br w:type="page"/>
      </w:r>
      <w:bookmarkStart w:id="42" w:name="_Toc19088"/>
      <w:r>
        <w:rPr>
          <w:rFonts w:hint="eastAsia" w:ascii="宋体" w:hAnsi="宋体" w:eastAsia="宋体" w:cs="宋体"/>
          <w:b/>
          <w:bCs/>
          <w:color w:val="auto"/>
          <w:szCs w:val="32"/>
          <w:highlight w:val="none"/>
          <w:lang w:val="zh-CN" w:eastAsia="zh-CN"/>
        </w:rPr>
        <w:t>一、</w:t>
      </w:r>
      <w:r>
        <w:rPr>
          <w:rFonts w:hint="eastAsia" w:ascii="宋体" w:hAnsi="宋体" w:eastAsia="宋体" w:cs="宋体"/>
          <w:b/>
          <w:bCs/>
          <w:color w:val="auto"/>
          <w:szCs w:val="32"/>
          <w:highlight w:val="none"/>
          <w:lang w:val="zh-CN"/>
        </w:rPr>
        <w:t>投标函</w:t>
      </w:r>
      <w:bookmarkEnd w:id="42"/>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（采购代理机构名称）：</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1.我方全面研究了“</w:t>
      </w:r>
      <w:bookmarkStart w:id="43" w:name="B002"/>
      <w:r>
        <w:rPr>
          <w:rFonts w:hint="eastAsia" w:asciiTheme="minorEastAsia" w:hAnsiTheme="minorEastAsia" w:eastAsiaTheme="minorEastAsia" w:cstheme="minorEastAsia"/>
          <w:color w:val="auto"/>
          <w:sz w:val="24"/>
          <w:szCs w:val="24"/>
          <w:highlight w:val="none"/>
          <w:u w:val="single"/>
        </w:rPr>
        <w:t xml:space="preserve">       </w:t>
      </w:r>
      <w:bookmarkEnd w:id="43"/>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标段采购文件（项目编号：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），决定参加贵单位组织的本项目采购。</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2.我方自愿按照采购文件规定的各项要求向采购人提供所需货物/服务，总报价为人民币</w:t>
      </w:r>
      <w:bookmarkStart w:id="44" w:name="A001"/>
      <w:r>
        <w:rPr>
          <w:rFonts w:hint="eastAsia" w:asciiTheme="minorEastAsia" w:hAnsiTheme="minorEastAsia" w:eastAsiaTheme="minorEastAsia" w:cstheme="minorEastAsia"/>
          <w:color w:val="auto"/>
          <w:sz w:val="24"/>
          <w:szCs w:val="24"/>
          <w:highlight w:val="none"/>
          <w:u w:val="single"/>
        </w:rPr>
        <w:t xml:space="preserve">       </w:t>
      </w:r>
      <w:bookmarkEnd w:id="44"/>
      <w:r>
        <w:rPr>
          <w:rFonts w:hint="eastAsia" w:asciiTheme="minorEastAsia" w:hAnsiTheme="minorEastAsia" w:eastAsiaTheme="minorEastAsia" w:cstheme="minorEastAsia"/>
          <w:color w:val="auto"/>
          <w:sz w:val="24"/>
          <w:szCs w:val="24"/>
          <w:highlight w:val="none"/>
        </w:rPr>
        <w:t>元（大写：</w:t>
      </w:r>
      <w:bookmarkStart w:id="45" w:name="B004"/>
      <w:r>
        <w:rPr>
          <w:rFonts w:hint="eastAsia" w:asciiTheme="minorEastAsia" w:hAnsiTheme="minorEastAsia" w:eastAsiaTheme="minorEastAsia" w:cstheme="minorEastAsia"/>
          <w:color w:val="auto"/>
          <w:sz w:val="24"/>
          <w:szCs w:val="24"/>
          <w:highlight w:val="none"/>
          <w:u w:val="single"/>
        </w:rPr>
        <w:t xml:space="preserve">       </w:t>
      </w:r>
      <w:bookmarkEnd w:id="45"/>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工期（交货期/监理周期/设计周期）为合同生效后</w:t>
      </w:r>
      <w:bookmarkStart w:id="46" w:name="B006"/>
      <w:r>
        <w:rPr>
          <w:rFonts w:hint="eastAsia" w:asciiTheme="minorEastAsia" w:hAnsiTheme="minorEastAsia" w:eastAsiaTheme="minorEastAsia" w:cstheme="minorEastAsia"/>
          <w:color w:val="auto"/>
          <w:sz w:val="24"/>
          <w:szCs w:val="24"/>
          <w:highlight w:val="none"/>
          <w:u w:val="single"/>
        </w:rPr>
        <w:t xml:space="preserve">      </w:t>
      </w:r>
      <w:bookmarkEnd w:id="46"/>
      <w:r>
        <w:rPr>
          <w:rFonts w:hint="eastAsia" w:asciiTheme="minorEastAsia" w:hAnsiTheme="minorEastAsia" w:eastAsiaTheme="minorEastAsia" w:cstheme="minorEastAsia"/>
          <w:color w:val="auto"/>
          <w:sz w:val="24"/>
          <w:szCs w:val="24"/>
          <w:highlight w:val="none"/>
        </w:rPr>
        <w:t>日历天。</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4. 质量：</w:t>
      </w:r>
      <w:bookmarkStart w:id="47" w:name="B007"/>
      <w:r>
        <w:rPr>
          <w:rFonts w:hint="eastAsia" w:asciiTheme="minorEastAsia" w:hAnsiTheme="minorEastAsia" w:eastAsiaTheme="minorEastAsia" w:cstheme="minorEastAsia"/>
          <w:color w:val="auto"/>
          <w:sz w:val="24"/>
          <w:szCs w:val="24"/>
          <w:highlight w:val="none"/>
          <w:u w:val="single"/>
        </w:rPr>
        <w:t xml:space="preserve">      </w:t>
      </w:r>
      <w:bookmarkEnd w:id="47"/>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项目经理/负责人（项目总监）</w:t>
      </w:r>
      <w:bookmarkStart w:id="48" w:name="B010"/>
      <w:r>
        <w:rPr>
          <w:rFonts w:hint="eastAsia" w:asciiTheme="minorEastAsia" w:hAnsiTheme="minorEastAsia" w:eastAsiaTheme="minorEastAsia" w:cstheme="minorEastAsia"/>
          <w:color w:val="auto"/>
          <w:sz w:val="24"/>
          <w:szCs w:val="24"/>
          <w:highlight w:val="none"/>
          <w:u w:val="single"/>
        </w:rPr>
        <w:t xml:space="preserve">          </w:t>
      </w:r>
      <w:bookmarkEnd w:id="48"/>
      <w:r>
        <w:rPr>
          <w:rFonts w:hint="eastAsia" w:asciiTheme="minorEastAsia" w:hAnsiTheme="minorEastAsia" w:eastAsiaTheme="minorEastAsia" w:cstheme="minorEastAsia"/>
          <w:color w:val="auto"/>
          <w:sz w:val="24"/>
          <w:szCs w:val="24"/>
          <w:highlight w:val="none"/>
        </w:rPr>
        <w:t xml:space="preserve"> 。</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5.一旦我方成交，我方将严格履行政府采购合同规定的责任和义务。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6.我方同意本采购文件依据相关规定对我方可能存在的失信行为进行惩戒。</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7.我方为本项目提交的响应文件用于采购报价。</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8.我方愿意提供贵单位可能另外要求的，与采购报价有关的文件资料，并保证我方已提供和将要提供的文件资料是真实、准确的。</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9.本次采购，我方递交的响应文件有效期为采购文件规定起算之日起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w:t>
      </w:r>
    </w:p>
    <w:p>
      <w:pPr>
        <w:adjustRightIn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p>
    <w:p>
      <w:pPr>
        <w:adjustRightIn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p>
    <w:p>
      <w:pPr>
        <w:adjustRightInd w:val="0"/>
        <w:spacing w:line="4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供应商名称：</w:t>
      </w:r>
      <w:bookmarkStart w:id="49" w:name="B012"/>
      <w:r>
        <w:rPr>
          <w:rFonts w:hint="eastAsia" w:asciiTheme="minorEastAsia" w:hAnsiTheme="minorEastAsia" w:eastAsiaTheme="minorEastAsia" w:cstheme="minorEastAsia"/>
          <w:color w:val="auto"/>
          <w:sz w:val="24"/>
          <w:szCs w:val="24"/>
          <w:highlight w:val="none"/>
          <w:u w:val="single"/>
        </w:rPr>
        <w:t xml:space="preserve">       </w:t>
      </w:r>
      <w:bookmarkEnd w:id="49"/>
      <w:r>
        <w:rPr>
          <w:rFonts w:hint="eastAsia" w:asciiTheme="minorEastAsia" w:hAnsiTheme="minorEastAsia" w:eastAsiaTheme="minorEastAsia" w:cstheme="minorEastAsia"/>
          <w:color w:val="auto"/>
          <w:sz w:val="24"/>
          <w:szCs w:val="24"/>
          <w:highlight w:val="none"/>
        </w:rPr>
        <w:t>（单位名称及盖电子单位公章）</w:t>
      </w:r>
    </w:p>
    <w:p>
      <w:pPr>
        <w:spacing w:line="400" w:lineRule="exact"/>
        <w:ind w:firstLine="470" w:firstLineChars="196"/>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法定代表人或授权代表（姓名及电子签章）：</w:t>
      </w:r>
      <w:bookmarkStart w:id="50" w:name="B013"/>
      <w:r>
        <w:rPr>
          <w:rFonts w:hint="eastAsia" w:asciiTheme="minorEastAsia" w:hAnsiTheme="minorEastAsia" w:eastAsiaTheme="minorEastAsia" w:cstheme="minorEastAsia"/>
          <w:color w:val="auto"/>
          <w:sz w:val="24"/>
          <w:szCs w:val="24"/>
          <w:highlight w:val="none"/>
          <w:u w:val="single"/>
        </w:rPr>
        <w:t xml:space="preserve">       </w:t>
      </w:r>
      <w:bookmarkEnd w:id="50"/>
    </w:p>
    <w:p>
      <w:pPr>
        <w:spacing w:line="400" w:lineRule="exact"/>
        <w:ind w:firstLine="470" w:firstLineChars="196"/>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rPr>
          <w:color w:val="auto"/>
          <w:highlight w:val="none"/>
        </w:rPr>
      </w:pPr>
    </w:p>
    <w:p>
      <w:pPr>
        <w:spacing w:line="360" w:lineRule="auto"/>
        <w:ind w:left="563"/>
        <w:rPr>
          <w:rFonts w:ascii="宋体" w:hAnsi="宋体" w:eastAsia="宋体" w:cs="宋体"/>
          <w:b/>
          <w:color w:val="auto"/>
          <w:sz w:val="24"/>
          <w:szCs w:val="24"/>
          <w:highlight w:val="none"/>
          <w:u w:val="single"/>
        </w:rPr>
      </w:pPr>
    </w:p>
    <w:p>
      <w:pPr>
        <w:tabs>
          <w:tab w:val="left" w:pos="1440"/>
        </w:tabs>
        <w:spacing w:line="360" w:lineRule="auto"/>
        <w:jc w:val="center"/>
        <w:outlineLvl w:val="1"/>
        <w:rPr>
          <w:rFonts w:ascii="宋体" w:hAnsi="宋体" w:eastAsia="宋体" w:cs="宋体"/>
          <w:b/>
          <w:bCs/>
          <w:color w:val="auto"/>
          <w:szCs w:val="32"/>
          <w:highlight w:val="none"/>
          <w:lang w:val="zh-CN"/>
        </w:rPr>
      </w:pPr>
      <w:r>
        <w:rPr>
          <w:rFonts w:ascii="宋体" w:hAnsi="宋体" w:eastAsia="宋体" w:cs="宋体"/>
          <w:b/>
          <w:color w:val="auto"/>
          <w:szCs w:val="28"/>
          <w:highlight w:val="none"/>
          <w:lang w:val="zh-CN"/>
        </w:rPr>
        <w:br w:type="page"/>
      </w:r>
      <w:bookmarkStart w:id="51" w:name="_Toc3147"/>
      <w:bookmarkStart w:id="52" w:name="_Toc3965"/>
      <w:bookmarkStart w:id="53" w:name="_Toc18334"/>
      <w:bookmarkStart w:id="54" w:name="_Toc25420"/>
      <w:bookmarkStart w:id="55" w:name="_Toc14638"/>
      <w:bookmarkStart w:id="56" w:name="_Toc72253195"/>
      <w:r>
        <w:rPr>
          <w:rFonts w:hint="eastAsia" w:ascii="宋体" w:hAnsi="宋体" w:eastAsia="宋体" w:cs="宋体"/>
          <w:b/>
          <w:color w:val="auto"/>
          <w:szCs w:val="28"/>
          <w:highlight w:val="none"/>
          <w:lang w:val="zh-CN"/>
        </w:rPr>
        <w:t>二、</w:t>
      </w:r>
      <w:r>
        <w:rPr>
          <w:rFonts w:hint="eastAsia" w:ascii="宋体" w:hAnsi="宋体" w:eastAsia="宋体" w:cs="宋体"/>
          <w:b/>
          <w:bCs/>
          <w:color w:val="auto"/>
          <w:szCs w:val="32"/>
          <w:highlight w:val="none"/>
          <w:lang w:val="zh-CN"/>
        </w:rPr>
        <w:t>开标一览表</w:t>
      </w:r>
      <w:bookmarkEnd w:id="51"/>
      <w:bookmarkEnd w:id="52"/>
      <w:bookmarkEnd w:id="53"/>
      <w:bookmarkEnd w:id="54"/>
      <w:bookmarkEnd w:id="55"/>
      <w:bookmarkEnd w:id="56"/>
    </w:p>
    <w:tbl>
      <w:tblPr>
        <w:tblStyle w:val="28"/>
        <w:tblpPr w:leftFromText="180" w:rightFromText="180" w:vertAnchor="text" w:horzAnchor="page" w:tblpX="1706" w:tblpY="247"/>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296"/>
        <w:gridCol w:w="5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项目名称及包段</w:t>
            </w:r>
          </w:p>
        </w:tc>
        <w:tc>
          <w:tcPr>
            <w:tcW w:w="5713" w:type="dxa"/>
            <w:vAlign w:val="center"/>
          </w:tcPr>
          <w:p>
            <w:pPr>
              <w:tabs>
                <w:tab w:val="left" w:pos="1440"/>
              </w:tabs>
              <w:spacing w:line="360" w:lineRule="auto"/>
              <w:jc w:val="left"/>
              <w:rPr>
                <w:rFonts w:ascii="宋体" w:hAnsi="宋体" w:eastAsia="宋体" w:cs="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投标范围</w:t>
            </w:r>
          </w:p>
        </w:tc>
        <w:tc>
          <w:tcPr>
            <w:tcW w:w="5713"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本招标文件包含全部内容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投标报价（元）</w:t>
            </w:r>
          </w:p>
        </w:tc>
        <w:tc>
          <w:tcPr>
            <w:tcW w:w="5713" w:type="dxa"/>
            <w:vAlign w:val="center"/>
          </w:tcPr>
          <w:p>
            <w:pPr>
              <w:tabs>
                <w:tab w:val="left" w:pos="1440"/>
              </w:tabs>
              <w:spacing w:line="360" w:lineRule="auto"/>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大写：</w:t>
            </w:r>
          </w:p>
          <w:p>
            <w:pPr>
              <w:tabs>
                <w:tab w:val="left" w:pos="1440"/>
              </w:tabs>
              <w:spacing w:line="360" w:lineRule="auto"/>
              <w:jc w:val="left"/>
              <w:rPr>
                <w:rFonts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交货期</w:t>
            </w:r>
          </w:p>
        </w:tc>
        <w:tc>
          <w:tcPr>
            <w:tcW w:w="5713" w:type="dxa"/>
            <w:vAlign w:val="center"/>
          </w:tcPr>
          <w:p>
            <w:pPr>
              <w:tabs>
                <w:tab w:val="left" w:pos="1440"/>
              </w:tabs>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免费质保期</w:t>
            </w:r>
          </w:p>
        </w:tc>
        <w:tc>
          <w:tcPr>
            <w:tcW w:w="5713" w:type="dxa"/>
            <w:vAlign w:val="center"/>
          </w:tcPr>
          <w:p>
            <w:pPr>
              <w:tabs>
                <w:tab w:val="left" w:pos="1440"/>
              </w:tabs>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c>
          <w:tcPr>
            <w:tcW w:w="5713" w:type="dxa"/>
            <w:vAlign w:val="center"/>
          </w:tcPr>
          <w:p>
            <w:pPr>
              <w:tabs>
                <w:tab w:val="left" w:pos="1440"/>
              </w:tabs>
              <w:spacing w:line="360" w:lineRule="auto"/>
              <w:jc w:val="center"/>
              <w:rPr>
                <w:rFonts w:ascii="宋体" w:hAnsi="宋体" w:eastAsia="宋体" w:cs="宋体"/>
                <w:color w:val="auto"/>
                <w:sz w:val="24"/>
                <w:szCs w:val="24"/>
                <w:highlight w:val="none"/>
              </w:rPr>
            </w:pPr>
          </w:p>
        </w:tc>
      </w:tr>
    </w:tbl>
    <w:p>
      <w:pPr>
        <w:pStyle w:val="55"/>
        <w:ind w:firstLine="200"/>
        <w:rPr>
          <w:color w:val="auto"/>
          <w:highlight w:val="none"/>
        </w:rPr>
      </w:pPr>
    </w:p>
    <w:p>
      <w:pPr>
        <w:spacing w:line="360" w:lineRule="auto"/>
        <w:ind w:right="656" w:firstLine="480" w:firstLineChars="200"/>
        <w:rPr>
          <w:rFonts w:ascii="宋体" w:hAnsi="宋体" w:eastAsia="宋体" w:cs="宋体"/>
          <w:color w:val="auto"/>
          <w:spacing w:val="24"/>
          <w:sz w:val="24"/>
          <w:szCs w:val="18"/>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pacing w:val="24"/>
          <w:sz w:val="24"/>
          <w:szCs w:val="18"/>
          <w:highlight w:val="none"/>
        </w:rPr>
        <w:t>：（加盖单位公章）</w:t>
      </w:r>
    </w:p>
    <w:p>
      <w:pPr>
        <w:spacing w:line="360" w:lineRule="auto"/>
        <w:ind w:right="656"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法定代表人或其委托代理人：（签字或盖章）</w:t>
      </w:r>
    </w:p>
    <w:p>
      <w:pPr>
        <w:spacing w:line="360" w:lineRule="auto"/>
        <w:ind w:right="656" w:firstLine="576" w:firstLineChars="200"/>
        <w:rPr>
          <w:rFonts w:ascii="宋体" w:hAnsi="宋体" w:eastAsia="宋体" w:cs="宋体"/>
          <w:color w:val="auto"/>
          <w:spacing w:val="24"/>
          <w:sz w:val="24"/>
          <w:szCs w:val="18"/>
          <w:highlight w:val="none"/>
        </w:rPr>
      </w:pPr>
      <w:r>
        <w:rPr>
          <w:rFonts w:hint="eastAsia" w:ascii="宋体" w:hAnsi="宋体" w:eastAsia="宋体" w:cs="宋体"/>
          <w:color w:val="auto"/>
          <w:spacing w:val="24"/>
          <w:sz w:val="24"/>
          <w:szCs w:val="18"/>
          <w:highlight w:val="none"/>
        </w:rPr>
        <w:t>日    期： 年 月 日</w:t>
      </w:r>
    </w:p>
    <w:p>
      <w:pPr>
        <w:jc w:val="center"/>
        <w:rPr>
          <w:rFonts w:ascii="宋体" w:hAnsi="宋体" w:eastAsia="宋体" w:cs="宋体"/>
          <w:b/>
          <w:bCs/>
          <w:color w:val="auto"/>
          <w:szCs w:val="32"/>
          <w:highlight w:val="none"/>
          <w:lang w:val="zh-CN"/>
        </w:rPr>
      </w:pPr>
      <w:r>
        <w:rPr>
          <w:rFonts w:hint="eastAsia" w:ascii="宋体" w:hAnsi="宋体" w:eastAsia="宋体" w:cs="宋体"/>
          <w:b/>
          <w:color w:val="auto"/>
          <w:szCs w:val="28"/>
          <w:highlight w:val="none"/>
          <w:lang w:val="zh-CN"/>
        </w:rPr>
        <w:br w:type="page"/>
      </w:r>
      <w:r>
        <w:rPr>
          <w:rFonts w:hint="eastAsia" w:ascii="宋体" w:hAnsi="宋体" w:eastAsia="宋体" w:cs="宋体"/>
          <w:b/>
          <w:bCs/>
          <w:color w:val="auto"/>
          <w:szCs w:val="32"/>
          <w:highlight w:val="none"/>
          <w:lang w:val="zh-CN"/>
        </w:rPr>
        <w:t>报价明细表</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项目交易编号： </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及包号</w:t>
      </w:r>
      <w:r>
        <w:rPr>
          <w:rFonts w:hint="eastAsia" w:asciiTheme="minorEastAsia" w:hAnsiTheme="minorEastAsia" w:eastAsiaTheme="minorEastAsia" w:cstheme="minorEastAsia"/>
          <w:color w:val="auto"/>
          <w:sz w:val="24"/>
          <w:szCs w:val="24"/>
          <w:highlight w:val="none"/>
        </w:rPr>
        <w:t xml:space="preserve">： </w:t>
      </w:r>
    </w:p>
    <w:tbl>
      <w:tblPr>
        <w:tblStyle w:val="28"/>
        <w:tblW w:w="9982" w:type="dxa"/>
        <w:tblInd w:w="0" w:type="dxa"/>
        <w:tblLayout w:type="fixed"/>
        <w:tblCellMar>
          <w:top w:w="0" w:type="dxa"/>
          <w:left w:w="0" w:type="dxa"/>
          <w:bottom w:w="0" w:type="dxa"/>
          <w:right w:w="0" w:type="dxa"/>
        </w:tblCellMar>
      </w:tblPr>
      <w:tblGrid>
        <w:gridCol w:w="732"/>
        <w:gridCol w:w="1087"/>
        <w:gridCol w:w="1605"/>
        <w:gridCol w:w="2775"/>
        <w:gridCol w:w="1110"/>
        <w:gridCol w:w="1425"/>
        <w:gridCol w:w="1248"/>
      </w:tblGrid>
      <w:tr>
        <w:tblPrEx>
          <w:tblCellMar>
            <w:top w:w="0" w:type="dxa"/>
            <w:left w:w="0" w:type="dxa"/>
            <w:bottom w:w="0" w:type="dxa"/>
            <w:right w:w="0" w:type="dxa"/>
          </w:tblCellMar>
        </w:tblPrEx>
        <w:trPr>
          <w:trHeight w:val="64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tc>
        <w:tc>
          <w:tcPr>
            <w:tcW w:w="111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42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r>
      <w:tr>
        <w:tblPrEx>
          <w:tblCellMar>
            <w:top w:w="0" w:type="dxa"/>
            <w:left w:w="0" w:type="dxa"/>
            <w:bottom w:w="0" w:type="dxa"/>
            <w:right w:w="0"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312" w:hRule="atLeast"/>
        </w:trPr>
        <w:tc>
          <w:tcPr>
            <w:tcW w:w="73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342" w:hRule="atLeast"/>
        </w:trPr>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投标总报价</w:t>
            </w:r>
          </w:p>
        </w:tc>
        <w:tc>
          <w:tcPr>
            <w:tcW w:w="816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大写：                   小写：</w:t>
            </w:r>
          </w:p>
        </w:tc>
      </w:tr>
      <w:tr>
        <w:tblPrEx>
          <w:tblCellMar>
            <w:top w:w="0" w:type="dxa"/>
            <w:left w:w="0" w:type="dxa"/>
            <w:bottom w:w="0" w:type="dxa"/>
            <w:right w:w="0" w:type="dxa"/>
          </w:tblCellMar>
        </w:tblPrEx>
        <w:trPr>
          <w:trHeight w:val="342" w:hRule="atLeast"/>
        </w:trPr>
        <w:tc>
          <w:tcPr>
            <w:tcW w:w="998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保留小数点后两位。</w:t>
            </w:r>
          </w:p>
        </w:tc>
      </w:tr>
    </w:tbl>
    <w:p>
      <w:pPr>
        <w:pStyle w:val="2"/>
        <w:rPr>
          <w:rFonts w:asciiTheme="minorEastAsia" w:hAnsiTheme="minorEastAsia" w:eastAsiaTheme="minorEastAsia" w:cstheme="minorEastAsia"/>
          <w:color w:val="auto"/>
          <w:sz w:val="24"/>
          <w:szCs w:val="24"/>
          <w:highlight w:val="none"/>
        </w:rPr>
      </w:pPr>
    </w:p>
    <w:p>
      <w:pPr>
        <w:rPr>
          <w:rFonts w:asciiTheme="minorEastAsia" w:hAnsiTheme="minorEastAsia" w:eastAsiaTheme="minorEastAsia" w:cstheme="minorEastAsia"/>
          <w:color w:val="auto"/>
          <w:sz w:val="24"/>
          <w:szCs w:val="24"/>
          <w:highlight w:val="none"/>
        </w:rPr>
      </w:pPr>
    </w:p>
    <w:p>
      <w:pPr>
        <w:pStyle w:val="26"/>
        <w:ind w:firstLine="0" w:firstLineChars="0"/>
        <w:rPr>
          <w:rFonts w:asciiTheme="minorEastAsia" w:hAnsiTheme="minorEastAsia" w:eastAsiaTheme="minorEastAsia" w:cstheme="minorEastAsia"/>
          <w:color w:val="auto"/>
          <w:sz w:val="24"/>
          <w:szCs w:val="24"/>
          <w:highlight w:val="none"/>
          <w:lang w:eastAsia="zh-CN"/>
        </w:rPr>
      </w:pPr>
    </w:p>
    <w:p>
      <w:pPr>
        <w:autoSpaceDE w:val="0"/>
        <w:autoSpaceDN w:val="0"/>
        <w:adjustRightInd w:val="0"/>
        <w:spacing w:line="500" w:lineRule="exact"/>
        <w:ind w:firstLine="308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供应商名称：（加盖单位公章）  </w:t>
      </w:r>
    </w:p>
    <w:p>
      <w:pPr>
        <w:autoSpaceDE w:val="0"/>
        <w:autoSpaceDN w:val="0"/>
        <w:adjustRightInd w:val="0"/>
        <w:spacing w:line="500" w:lineRule="exact"/>
        <w:ind w:firstLine="308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法定代表人或委托代理人（签字或盖章）：</w:t>
      </w:r>
    </w:p>
    <w:p>
      <w:pPr>
        <w:autoSpaceDE w:val="0"/>
        <w:autoSpaceDN w:val="0"/>
        <w:adjustRightInd w:val="0"/>
        <w:spacing w:line="500" w:lineRule="exact"/>
        <w:ind w:firstLine="308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日期：</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年</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月</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日</w:t>
      </w:r>
    </w:p>
    <w:p>
      <w:pPr>
        <w:pStyle w:val="2"/>
        <w:spacing w:before="9"/>
        <w:rPr>
          <w:rFonts w:ascii="宋体" w:hAnsi="宋体" w:eastAsia="宋体" w:cs="宋体"/>
          <w:color w:val="auto"/>
          <w:sz w:val="24"/>
          <w:highlight w:val="none"/>
        </w:rPr>
      </w:pP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注：1.如果按单价计算的结果与总价不一致，以单价为准修正总价。</w:t>
      </w:r>
    </w:p>
    <w:p>
      <w:pPr>
        <w:pStyle w:val="2"/>
        <w:spacing w:line="436" w:lineRule="auto"/>
        <w:ind w:left="776" w:right="2469" w:hanging="480"/>
        <w:rPr>
          <w:rFonts w:ascii="宋体" w:hAnsi="宋体" w:eastAsia="宋体" w:cs="宋体"/>
          <w:color w:val="auto"/>
          <w:sz w:val="24"/>
          <w:highlight w:val="none"/>
        </w:rPr>
      </w:pPr>
      <w:r>
        <w:rPr>
          <w:rFonts w:hint="eastAsia" w:ascii="宋体" w:hAnsi="宋体" w:eastAsia="宋体" w:cs="宋体"/>
          <w:color w:val="auto"/>
          <w:sz w:val="24"/>
          <w:highlight w:val="none"/>
        </w:rPr>
        <w:t>2.如果不提供详细分项报价将视为没有实质性响应招标文件。</w:t>
      </w:r>
    </w:p>
    <w:p>
      <w:pPr>
        <w:pStyle w:val="58"/>
        <w:tabs>
          <w:tab w:val="left" w:pos="1017"/>
        </w:tabs>
        <w:spacing w:before="1"/>
        <w:ind w:firstLine="240" w:firstLineChars="100"/>
        <w:jc w:val="left"/>
        <w:rPr>
          <w:rFonts w:ascii="宋体" w:hAnsi="宋体" w:cs="宋体"/>
          <w:color w:val="auto"/>
          <w:sz w:val="24"/>
          <w:szCs w:val="22"/>
          <w:highlight w:val="none"/>
        </w:rPr>
      </w:pPr>
      <w:r>
        <w:rPr>
          <w:rFonts w:hint="eastAsia" w:ascii="宋体" w:hAnsi="宋体" w:cs="宋体"/>
          <w:color w:val="auto"/>
          <w:sz w:val="24"/>
          <w:szCs w:val="22"/>
          <w:highlight w:val="none"/>
        </w:rPr>
        <w:t>3.供应商可适当调整该表格式，但不得减少信息内容。</w:t>
      </w:r>
    </w:p>
    <w:p>
      <w:pPr>
        <w:pStyle w:val="58"/>
        <w:tabs>
          <w:tab w:val="left" w:pos="1017"/>
        </w:tabs>
        <w:spacing w:before="1"/>
        <w:ind w:firstLine="240" w:firstLineChars="100"/>
        <w:jc w:val="left"/>
        <w:rPr>
          <w:rFonts w:ascii="宋体" w:hAnsi="宋体" w:cs="宋体"/>
          <w:color w:val="auto"/>
          <w:sz w:val="24"/>
          <w:szCs w:val="22"/>
          <w:highlight w:val="none"/>
        </w:rPr>
      </w:pPr>
      <w:r>
        <w:rPr>
          <w:rFonts w:hint="eastAsia" w:ascii="宋体" w:hAnsi="宋体" w:cs="宋体"/>
          <w:color w:val="auto"/>
          <w:sz w:val="24"/>
          <w:szCs w:val="22"/>
          <w:highlight w:val="none"/>
        </w:rPr>
        <w:br w:type="page"/>
      </w:r>
    </w:p>
    <w:p>
      <w:pPr>
        <w:pStyle w:val="58"/>
        <w:tabs>
          <w:tab w:val="left" w:pos="1017"/>
        </w:tabs>
        <w:spacing w:before="1"/>
        <w:ind w:firstLine="320" w:firstLineChars="100"/>
        <w:jc w:val="center"/>
        <w:outlineLvl w:val="1"/>
        <w:rPr>
          <w:rFonts w:hint="eastAsia" w:ascii="宋体" w:hAnsi="宋体" w:eastAsia="宋体" w:cs="宋体"/>
          <w:b/>
          <w:bCs/>
          <w:color w:val="auto"/>
          <w:kern w:val="0"/>
          <w:sz w:val="32"/>
          <w:szCs w:val="32"/>
          <w:highlight w:val="none"/>
          <w:lang w:val="zh-CN" w:eastAsia="zh-CN" w:bidi="ar-SA"/>
        </w:rPr>
      </w:pPr>
      <w:bookmarkStart w:id="57" w:name="_Toc72253196"/>
      <w:bookmarkStart w:id="58" w:name="_Toc2307"/>
      <w:bookmarkStart w:id="59" w:name="_Toc15628"/>
      <w:r>
        <w:rPr>
          <w:rFonts w:hint="eastAsia" w:ascii="宋体" w:hAnsi="宋体" w:eastAsia="宋体" w:cs="宋体"/>
          <w:b/>
          <w:bCs/>
          <w:color w:val="auto"/>
          <w:kern w:val="0"/>
          <w:sz w:val="32"/>
          <w:szCs w:val="32"/>
          <w:highlight w:val="none"/>
          <w:lang w:val="zh-CN" w:eastAsia="zh-CN" w:bidi="ar-SA"/>
        </w:rPr>
        <w:t>三、法定代表人身份证明及法定代表人授权书</w:t>
      </w:r>
      <w:bookmarkEnd w:id="57"/>
      <w:bookmarkEnd w:id="58"/>
      <w:bookmarkEnd w:id="59"/>
    </w:p>
    <w:p>
      <w:pPr>
        <w:spacing w:line="360" w:lineRule="auto"/>
        <w:jc w:val="center"/>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3-1</w:t>
      </w:r>
      <w:r>
        <w:rPr>
          <w:rFonts w:hint="eastAsia" w:ascii="宋体" w:hAnsi="宋体" w:eastAsia="宋体" w:cs="宋体"/>
          <w:b/>
          <w:bCs/>
          <w:color w:val="auto"/>
          <w:sz w:val="28"/>
          <w:szCs w:val="28"/>
          <w:highlight w:val="none"/>
          <w:lang w:val="zh-CN"/>
        </w:rPr>
        <w:t>法定代表人身份证明</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   年   月   日</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       性别：         年龄：        职务：</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供应商：（盖单位章）</w:t>
      </w:r>
    </w:p>
    <w:p>
      <w:pPr>
        <w:spacing w:line="360" w:lineRule="auto"/>
        <w:ind w:firstLine="4560" w:firstLineChars="19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注：仅供法定代表人参加投标时提供。</w:t>
      </w:r>
    </w:p>
    <w:p>
      <w:pPr>
        <w:autoSpaceDE w:val="0"/>
        <w:autoSpaceDN w:val="0"/>
        <w:adjustRightInd w:val="0"/>
        <w:spacing w:line="360" w:lineRule="auto"/>
        <w:jc w:val="center"/>
        <w:rPr>
          <w:rFonts w:ascii="宋体" w:hAnsi="宋体" w:eastAsia="宋体" w:cs="宋体"/>
          <w:b/>
          <w:bCs/>
          <w:color w:val="auto"/>
          <w:szCs w:val="28"/>
          <w:highlight w:val="none"/>
          <w:lang w:val="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3-2</w:t>
      </w:r>
      <w:r>
        <w:rPr>
          <w:rFonts w:hint="eastAsia" w:ascii="宋体" w:hAnsi="宋体" w:eastAsia="宋体" w:cs="宋体"/>
          <w:b/>
          <w:bCs/>
          <w:color w:val="auto"/>
          <w:sz w:val="28"/>
          <w:szCs w:val="28"/>
          <w:highlight w:val="none"/>
          <w:lang w:val="zh-CN"/>
        </w:rPr>
        <w:t>法定代表人授权书</w:t>
      </w:r>
    </w:p>
    <w:p>
      <w:pPr>
        <w:autoSpaceDE w:val="0"/>
        <w:autoSpaceDN w:val="0"/>
        <w:adjustRightInd w:val="0"/>
        <w:spacing w:line="360" w:lineRule="auto"/>
        <w:ind w:firstLine="7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本授权书声明：注册于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(注册地址)的公司的在下面签字的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(法定代表人姓名、职务)代表本公司授权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(被授权人的姓名、职务)为本公司的合法代理人，就招标项目交易编号为：</w:t>
      </w:r>
      <w:r>
        <w:rPr>
          <w:rFonts w:hint="eastAsia" w:ascii="宋体" w:hAnsi="宋体" w:eastAsia="宋体" w:cs="宋体"/>
          <w:color w:val="auto"/>
          <w:sz w:val="24"/>
          <w:szCs w:val="24"/>
          <w:highlight w:val="none"/>
          <w:u w:val="single"/>
        </w:rPr>
        <w:t xml:space="preserve">长交采2022ZB   </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(项目名称及包段)的招标及合同的签订、执行及售后服务，以本公司名义处理一切与之有关的事宜。</w:t>
      </w:r>
    </w:p>
    <w:p>
      <w:pPr>
        <w:autoSpaceDE w:val="0"/>
        <w:autoSpaceDN w:val="0"/>
        <w:adjustRightInd w:val="0"/>
        <w:spacing w:line="360" w:lineRule="auto"/>
        <w:ind w:firstLine="7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日签字生效，特此声明。</w:t>
      </w:r>
    </w:p>
    <w:p>
      <w:pPr>
        <w:autoSpaceDE w:val="0"/>
        <w:autoSpaceDN w:val="0"/>
        <w:adjustRightInd w:val="0"/>
        <w:spacing w:line="360" w:lineRule="auto"/>
        <w:ind w:firstLine="7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附：法定代表人和委托代理人身份证复印件</w:t>
      </w:r>
      <w:r>
        <w:rPr>
          <w:rFonts w:hint="eastAsia" w:ascii="宋体" w:hAnsi="宋体" w:eastAsia="宋体" w:cs="宋体"/>
          <w:b/>
          <w:bCs/>
          <w:color w:val="auto"/>
          <w:sz w:val="24"/>
          <w:szCs w:val="24"/>
          <w:highlight w:val="none"/>
        </w:rPr>
        <w:t>。</w:t>
      </w:r>
    </w:p>
    <w:p>
      <w:pPr>
        <w:autoSpaceDE w:val="0"/>
        <w:autoSpaceDN w:val="0"/>
        <w:adjustRightInd w:val="0"/>
        <w:spacing w:line="360" w:lineRule="auto"/>
        <w:ind w:left="480"/>
        <w:rPr>
          <w:rFonts w:ascii="宋体" w:hAnsi="宋体" w:eastAsia="宋体" w:cs="宋体"/>
          <w:color w:val="auto"/>
          <w:sz w:val="24"/>
          <w:szCs w:val="24"/>
          <w:highlight w:val="none"/>
          <w:lang w:val="zh-CN"/>
        </w:rPr>
      </w:pPr>
    </w:p>
    <w:p>
      <w:pPr>
        <w:autoSpaceDE w:val="0"/>
        <w:autoSpaceDN w:val="0"/>
        <w:adjustRightInd w:val="0"/>
        <w:spacing w:line="360" w:lineRule="auto"/>
        <w:ind w:left="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法定代表人（签字或盖章）：</w:t>
      </w:r>
    </w:p>
    <w:p>
      <w:pPr>
        <w:autoSpaceDE w:val="0"/>
        <w:autoSpaceDN w:val="0"/>
        <w:adjustRightInd w:val="0"/>
        <w:spacing w:line="360" w:lineRule="auto"/>
        <w:ind w:left="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委托代理人(被授权人)（签字或盖章）：</w:t>
      </w:r>
    </w:p>
    <w:p>
      <w:pPr>
        <w:autoSpaceDE w:val="0"/>
        <w:autoSpaceDN w:val="0"/>
        <w:adjustRightInd w:val="0"/>
        <w:spacing w:line="360" w:lineRule="auto"/>
        <w:ind w:left="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供应商名称：（加盖单位公章）：</w:t>
      </w:r>
    </w:p>
    <w:p>
      <w:pPr>
        <w:autoSpaceDE w:val="0"/>
        <w:autoSpaceDN w:val="0"/>
        <w:adjustRightInd w:val="0"/>
        <w:spacing w:line="360" w:lineRule="auto"/>
        <w:ind w:right="26" w:firstLine="472" w:firstLineChars="197"/>
        <w:rPr>
          <w:rFonts w:ascii="宋体" w:hAnsi="宋体" w:eastAsia="宋体" w:cs="宋体"/>
          <w:bCs/>
          <w:color w:val="auto"/>
          <w:szCs w:val="21"/>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pPr>
        <w:autoSpaceDE w:val="0"/>
        <w:autoSpaceDN w:val="0"/>
        <w:adjustRightInd w:val="0"/>
        <w:spacing w:line="360" w:lineRule="auto"/>
        <w:ind w:left="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注：仅供授权代表参加投标时提供。</w:t>
      </w:r>
    </w:p>
    <w:p>
      <w:pPr>
        <w:jc w:val="center"/>
        <w:outlineLvl w:val="1"/>
        <w:rPr>
          <w:b/>
          <w:bCs/>
          <w:color w:val="auto"/>
          <w:szCs w:val="32"/>
          <w:highlight w:val="none"/>
        </w:rPr>
      </w:pPr>
      <w:r>
        <w:rPr>
          <w:rFonts w:ascii="宋体" w:hAnsi="宋体" w:eastAsia="宋体" w:cs="宋体"/>
          <w:b/>
          <w:color w:val="auto"/>
          <w:szCs w:val="32"/>
          <w:highlight w:val="none"/>
          <w:lang w:val="zh-CN"/>
        </w:rPr>
        <w:br w:type="page"/>
      </w:r>
      <w:bookmarkStart w:id="60" w:name="_Toc72253197"/>
      <w:bookmarkStart w:id="61" w:name="_Toc15520"/>
      <w:bookmarkStart w:id="62" w:name="_Toc12328"/>
      <w:bookmarkStart w:id="63" w:name="_Toc13987"/>
      <w:bookmarkStart w:id="64" w:name="_Toc7650"/>
      <w:bookmarkStart w:id="65" w:name="_Toc6758"/>
      <w:r>
        <w:rPr>
          <w:rFonts w:hint="eastAsia" w:ascii="宋体" w:hAnsi="宋体" w:eastAsia="宋体" w:cs="宋体"/>
          <w:b/>
          <w:color w:val="auto"/>
          <w:szCs w:val="32"/>
          <w:highlight w:val="none"/>
          <w:lang w:val="zh-CN"/>
        </w:rPr>
        <w:t>四、</w:t>
      </w:r>
      <w:r>
        <w:rPr>
          <w:rFonts w:hint="eastAsia" w:ascii="宋体" w:hAnsi="宋体" w:eastAsia="宋体" w:cs="宋体"/>
          <w:b/>
          <w:bCs/>
          <w:color w:val="auto"/>
          <w:szCs w:val="32"/>
          <w:highlight w:val="none"/>
        </w:rPr>
        <w:t>投标承诺函</w:t>
      </w:r>
      <w:bookmarkEnd w:id="60"/>
      <w:bookmarkEnd w:id="61"/>
      <w:bookmarkEnd w:id="62"/>
      <w:bookmarkEnd w:id="63"/>
      <w:bookmarkEnd w:id="64"/>
      <w:bookmarkEnd w:id="65"/>
    </w:p>
    <w:p>
      <w:pPr>
        <w:rPr>
          <w:rFonts w:ascii="宋体" w:hAnsi="宋体" w:eastAsia="宋体" w:cs="宋体"/>
          <w:b/>
          <w:bCs/>
          <w:color w:val="auto"/>
          <w:szCs w:val="32"/>
          <w:highlight w:val="none"/>
          <w:u w:val="single"/>
        </w:rPr>
      </w:pPr>
      <w:r>
        <w:rPr>
          <w:rFonts w:hint="eastAsia" w:ascii="宋体" w:hAnsi="宋体" w:eastAsia="宋体" w:cs="宋体"/>
          <w:b/>
          <w:bCs/>
          <w:color w:val="auto"/>
          <w:szCs w:val="32"/>
          <w:highlight w:val="none"/>
        </w:rPr>
        <w:t>致：</w:t>
      </w:r>
      <w:r>
        <w:rPr>
          <w:rFonts w:hint="eastAsia" w:ascii="宋体" w:hAnsi="宋体" w:eastAsia="宋体" w:cs="宋体"/>
          <w:b/>
          <w:color w:val="auto"/>
          <w:sz w:val="24"/>
          <w:szCs w:val="24"/>
          <w:highlight w:val="none"/>
          <w:u w:val="single"/>
        </w:rPr>
        <w:t xml:space="preserve">（采购人名称）                 </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我们收到了项目交易编号为</w:t>
      </w:r>
      <w:r>
        <w:rPr>
          <w:rFonts w:hint="eastAsia" w:ascii="宋体" w:hAnsi="宋体" w:eastAsia="宋体" w:cs="宋体"/>
          <w:b/>
          <w:bCs/>
          <w:color w:val="auto"/>
          <w:sz w:val="24"/>
          <w:szCs w:val="24"/>
          <w:highlight w:val="none"/>
          <w:u w:val="single"/>
        </w:rPr>
        <w:t>：长交采2022ZB   号</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u w:val="single"/>
        </w:rPr>
        <w:t xml:space="preserve">         （项目名称</w:t>
      </w:r>
      <w:r>
        <w:rPr>
          <w:rFonts w:hint="eastAsia" w:ascii="宋体" w:hAnsi="宋体" w:eastAsia="宋体" w:cs="宋体"/>
          <w:b/>
          <w:bCs/>
          <w:color w:val="auto"/>
          <w:sz w:val="24"/>
          <w:szCs w:val="24"/>
          <w:highlight w:val="none"/>
          <w:u w:val="single"/>
          <w:lang w:eastAsia="zh-CN"/>
        </w:rPr>
        <w:t>及包段</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rPr>
        <w:t>的招标文件，已详细审查全部内容（含补遗文件，如有），我们完全理解并同意放弃对上述文件有不明及误解的权利。我方在此郑重承诺：</w:t>
      </w:r>
    </w:p>
    <w:p>
      <w:pPr>
        <w:shd w:val="clear" w:color="000000" w:fill="auto"/>
        <w:spacing w:line="480" w:lineRule="exact"/>
        <w:jc w:val="left"/>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一、具备《中华人民共和国政府采购法》第二十二条第一款和本项目规定的条件：</w:t>
      </w:r>
    </w:p>
    <w:p>
      <w:pPr>
        <w:shd w:val="clear" w:color="000000" w:fill="auto"/>
        <w:spacing w:line="480" w:lineRule="exact"/>
        <w:ind w:firstLine="480" w:firstLineChars="2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1、具有独立承担民事责任能力</w:t>
      </w:r>
      <w:r>
        <w:rPr>
          <w:rFonts w:hint="eastAsia" w:ascii="宋体" w:hAnsi="宋体" w:eastAsia="宋体" w:cs="宋体"/>
          <w:color w:val="auto"/>
          <w:sz w:val="24"/>
          <w:szCs w:val="24"/>
          <w:highlight w:val="none"/>
          <w:lang w:val="zh-CN"/>
        </w:rPr>
        <w:t>；</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3、具有履行合同所必须的设备和专业技术能力；</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4、有依法缴纳税收和社会保障资金的能力；</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5、参加政府采购活动前三年内，在经营活动中无重大违法记录；</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具有其他资质详见招标文件第一章投标邀请申请人资格要求。</w:t>
      </w:r>
    </w:p>
    <w:p>
      <w:pPr>
        <w:pStyle w:val="24"/>
        <w:widowControl/>
        <w:spacing w:beforeAutospacing="0" w:afterAutospacing="0" w:line="480" w:lineRule="exac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二、存在以下行为之一的愿意接受相关部门的处理</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z w:val="24"/>
          <w:szCs w:val="24"/>
          <w:highlight w:val="none"/>
        </w:rPr>
        <w:t>供应商在招标文件规定的投标有效期内撤回其投标；</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z w:val="24"/>
          <w:szCs w:val="24"/>
          <w:highlight w:val="none"/>
        </w:rPr>
        <w:t>在投标文件中提供虚假材料；</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r>
        <w:rPr>
          <w:rFonts w:hint="eastAsia" w:ascii="宋体" w:hAnsi="宋体" w:eastAsia="宋体" w:cs="宋体"/>
          <w:color w:val="auto"/>
          <w:sz w:val="24"/>
          <w:szCs w:val="24"/>
          <w:highlight w:val="none"/>
        </w:rPr>
        <w:t>供应商与采购人、其他供应商或者招标代理机构恶意串通的</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z w:val="24"/>
          <w:szCs w:val="24"/>
          <w:highlight w:val="none"/>
        </w:rPr>
        <w:t>中标人除因不可抗力未在法律规定时间内签订合同；</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3"/>
          <w:sz w:val="24"/>
          <w:szCs w:val="24"/>
          <w:highlight w:val="none"/>
        </w:rPr>
        <w:t>将中标项目转让给他人，或者在投标文件中未说明，且未经采购人同意，将中标</w:t>
      </w:r>
      <w:r>
        <w:rPr>
          <w:rFonts w:hint="eastAsia" w:ascii="宋体" w:hAnsi="宋体" w:eastAsia="宋体" w:cs="宋体"/>
          <w:color w:val="auto"/>
          <w:sz w:val="24"/>
          <w:szCs w:val="24"/>
          <w:highlight w:val="none"/>
        </w:rPr>
        <w:t>项目分包给他人的；</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r>
        <w:rPr>
          <w:rFonts w:hint="eastAsia" w:ascii="宋体" w:hAnsi="宋体" w:eastAsia="宋体" w:cs="宋体"/>
          <w:color w:val="auto"/>
          <w:sz w:val="24"/>
          <w:szCs w:val="24"/>
          <w:highlight w:val="none"/>
        </w:rPr>
        <w:t>未按招标文件规定按时向招标代理机构交纳代理服务费；</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r>
        <w:rPr>
          <w:rFonts w:hint="eastAsia" w:ascii="宋体" w:hAnsi="宋体" w:eastAsia="宋体" w:cs="宋体"/>
          <w:color w:val="auto"/>
          <w:sz w:val="24"/>
          <w:szCs w:val="24"/>
          <w:highlight w:val="none"/>
        </w:rPr>
        <w:t>其他违反法律法规的情形。</w:t>
      </w:r>
    </w:p>
    <w:p>
      <w:pPr>
        <w:spacing w:line="480" w:lineRule="exact"/>
        <w:ind w:firstLine="484" w:firstLineChars="20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由此产生的一切法律后果和责任由我公司承担。我公司声明放弃对此提出任何</w:t>
      </w:r>
      <w:r>
        <w:rPr>
          <w:rFonts w:hint="eastAsia" w:ascii="宋体" w:hAnsi="宋体" w:eastAsia="宋体" w:cs="宋体"/>
          <w:color w:val="auto"/>
          <w:sz w:val="24"/>
          <w:szCs w:val="24"/>
          <w:highlight w:val="none"/>
        </w:rPr>
        <w:t xml:space="preserve">异议和追索的权利。 </w:t>
      </w:r>
      <w:r>
        <w:rPr>
          <w:rFonts w:hint="eastAsia" w:ascii="宋体" w:hAnsi="宋体" w:eastAsia="宋体" w:cs="宋体"/>
          <w:color w:val="auto"/>
          <w:spacing w:val="-3"/>
          <w:sz w:val="24"/>
          <w:szCs w:val="24"/>
          <w:highlight w:val="none"/>
        </w:rPr>
        <w:t>本公司对上述承诺的内容事项真实性负责。如经查实上述承诺的内容事项存在虚</w:t>
      </w:r>
      <w:r>
        <w:rPr>
          <w:rFonts w:hint="eastAsia" w:ascii="宋体" w:hAnsi="宋体" w:eastAsia="宋体" w:cs="宋体"/>
          <w:color w:val="auto"/>
          <w:sz w:val="24"/>
          <w:szCs w:val="24"/>
          <w:highlight w:val="none"/>
        </w:rPr>
        <w:t>假，我公司愿意接受以提供虚假材料谋取中标追究法律责任。</w:t>
      </w:r>
    </w:p>
    <w:p>
      <w:pPr>
        <w:spacing w:line="360" w:lineRule="auto"/>
        <w:ind w:firstLine="3120" w:firstLineChars="1300"/>
        <w:rPr>
          <w:rFonts w:ascii="宋体" w:hAnsi="宋体" w:eastAsia="宋体" w:cs="宋体"/>
          <w:b/>
          <w:color w:val="auto"/>
          <w:sz w:val="24"/>
          <w:szCs w:val="28"/>
          <w:highlight w:val="none"/>
          <w:lang w:val="zh-CN"/>
        </w:rPr>
      </w:pPr>
    </w:p>
    <w:p>
      <w:pPr>
        <w:spacing w:line="360" w:lineRule="auto"/>
        <w:ind w:firstLine="3120" w:firstLineChars="1300"/>
        <w:rPr>
          <w:rFonts w:ascii="宋体" w:hAnsi="宋体" w:eastAsia="宋体" w:cs="宋体"/>
          <w:b/>
          <w:color w:val="auto"/>
          <w:sz w:val="24"/>
          <w:szCs w:val="28"/>
          <w:highlight w:val="none"/>
          <w:lang w:val="zh-CN"/>
        </w:rPr>
      </w:pPr>
      <w:r>
        <w:rPr>
          <w:rFonts w:hint="eastAsia" w:ascii="宋体" w:hAnsi="宋体" w:eastAsia="宋体" w:cs="宋体"/>
          <w:b/>
          <w:color w:val="auto"/>
          <w:sz w:val="24"/>
          <w:szCs w:val="28"/>
          <w:highlight w:val="none"/>
          <w:lang w:val="zh-CN"/>
        </w:rPr>
        <w:t xml:space="preserve">供应商名称：（加盖单位公章）  </w:t>
      </w:r>
    </w:p>
    <w:p>
      <w:pPr>
        <w:spacing w:line="360" w:lineRule="auto"/>
        <w:ind w:firstLine="3124" w:firstLineChars="1302"/>
        <w:rPr>
          <w:rFonts w:ascii="宋体" w:hAnsi="宋体" w:eastAsia="宋体" w:cs="宋体"/>
          <w:b/>
          <w:color w:val="auto"/>
          <w:sz w:val="24"/>
          <w:szCs w:val="28"/>
          <w:highlight w:val="none"/>
          <w:lang w:val="zh-CN"/>
        </w:rPr>
      </w:pPr>
      <w:r>
        <w:rPr>
          <w:rFonts w:hint="eastAsia" w:ascii="宋体" w:hAnsi="宋体" w:eastAsia="宋体" w:cs="宋体"/>
          <w:b/>
          <w:color w:val="auto"/>
          <w:sz w:val="24"/>
          <w:szCs w:val="28"/>
          <w:highlight w:val="none"/>
          <w:lang w:val="zh-CN"/>
        </w:rPr>
        <w:t>法定代表人或委托代理人（签字或盖章）：</w:t>
      </w:r>
    </w:p>
    <w:p>
      <w:pPr>
        <w:spacing w:line="360" w:lineRule="auto"/>
        <w:ind w:firstLine="6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日　期：  年  月  日</w:t>
      </w:r>
      <w:r>
        <w:rPr>
          <w:rFonts w:hint="eastAsia" w:ascii="宋体" w:hAnsi="宋体" w:eastAsia="宋体" w:cs="宋体"/>
          <w:b/>
          <w:color w:val="auto"/>
          <w:sz w:val="24"/>
          <w:szCs w:val="24"/>
          <w:highlight w:val="none"/>
        </w:rPr>
        <w:br w:type="page"/>
      </w:r>
    </w:p>
    <w:p>
      <w:pPr>
        <w:spacing w:line="360" w:lineRule="auto"/>
        <w:ind w:right="26" w:firstLine="712"/>
        <w:jc w:val="center"/>
        <w:outlineLvl w:val="1"/>
        <w:rPr>
          <w:rFonts w:ascii="宋体" w:hAnsi="宋体" w:eastAsia="宋体" w:cs="宋体"/>
          <w:b/>
          <w:color w:val="auto"/>
          <w:szCs w:val="28"/>
          <w:highlight w:val="none"/>
          <w:lang w:val="zh-CN"/>
        </w:rPr>
      </w:pPr>
      <w:bookmarkStart w:id="66" w:name="_Toc12879"/>
      <w:bookmarkStart w:id="67" w:name="_Toc31165"/>
      <w:bookmarkStart w:id="68" w:name="_Toc18054"/>
      <w:bookmarkStart w:id="69" w:name="_Toc72253198"/>
      <w:bookmarkStart w:id="70" w:name="_Toc22849"/>
      <w:bookmarkStart w:id="71" w:name="_Toc12290"/>
      <w:r>
        <w:rPr>
          <w:rFonts w:hint="eastAsia" w:ascii="宋体" w:hAnsi="宋体" w:eastAsia="宋体" w:cs="宋体"/>
          <w:b/>
          <w:color w:val="auto"/>
          <w:szCs w:val="32"/>
          <w:highlight w:val="none"/>
          <w:lang w:val="zh-CN"/>
        </w:rPr>
        <w:t>五</w:t>
      </w:r>
      <w:r>
        <w:rPr>
          <w:rFonts w:hint="eastAsia" w:ascii="宋体" w:hAnsi="宋体" w:eastAsia="宋体" w:cs="宋体"/>
          <w:b/>
          <w:color w:val="auto"/>
          <w:szCs w:val="28"/>
          <w:highlight w:val="none"/>
          <w:lang w:val="zh-CN"/>
        </w:rPr>
        <w:t>、商务要求响应情况表</w:t>
      </w:r>
      <w:bookmarkEnd w:id="66"/>
      <w:bookmarkEnd w:id="67"/>
      <w:bookmarkEnd w:id="68"/>
      <w:bookmarkEnd w:id="69"/>
      <w:bookmarkEnd w:id="70"/>
      <w:bookmarkEnd w:id="71"/>
    </w:p>
    <w:tbl>
      <w:tblPr>
        <w:tblStyle w:val="28"/>
        <w:tblW w:w="9485" w:type="dxa"/>
        <w:tblInd w:w="0" w:type="dxa"/>
        <w:tblLayout w:type="fixed"/>
        <w:tblCellMar>
          <w:top w:w="0" w:type="dxa"/>
          <w:left w:w="108" w:type="dxa"/>
          <w:bottom w:w="0" w:type="dxa"/>
          <w:right w:w="108" w:type="dxa"/>
        </w:tblCellMar>
      </w:tblPr>
      <w:tblGrid>
        <w:gridCol w:w="641"/>
        <w:gridCol w:w="5343"/>
        <w:gridCol w:w="2121"/>
        <w:gridCol w:w="1380"/>
      </w:tblGrid>
      <w:tr>
        <w:tblPrEx>
          <w:tblCellMar>
            <w:top w:w="0" w:type="dxa"/>
            <w:left w:w="108" w:type="dxa"/>
            <w:bottom w:w="0" w:type="dxa"/>
            <w:right w:w="108" w:type="dxa"/>
          </w:tblCellMar>
        </w:tblPrEx>
        <w:trPr>
          <w:trHeight w:val="1155"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53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商务实质性条款</w:t>
            </w:r>
          </w:p>
        </w:tc>
        <w:tc>
          <w:tcPr>
            <w:tcW w:w="212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报价供应商是否同意（满足）</w:t>
            </w:r>
          </w:p>
        </w:tc>
        <w:tc>
          <w:tcPr>
            <w:tcW w:w="138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补充</w:t>
            </w:r>
          </w:p>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说明</w:t>
            </w:r>
          </w:p>
        </w:tc>
      </w:tr>
      <w:tr>
        <w:tblPrEx>
          <w:tblCellMar>
            <w:top w:w="0" w:type="dxa"/>
            <w:left w:w="108" w:type="dxa"/>
            <w:bottom w:w="0" w:type="dxa"/>
            <w:right w:w="108" w:type="dxa"/>
          </w:tblCellMar>
        </w:tblPrEx>
        <w:trPr>
          <w:trHeight w:val="1209"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1</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投标报价：报价包含完成本项目的一切费用，采购项目未考虑的但项目实施过程中必要的费用，请供应商一并考虑，合同签定后对此不再做增补。</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r>
        <w:tblPrEx>
          <w:tblCellMar>
            <w:top w:w="0" w:type="dxa"/>
            <w:left w:w="108" w:type="dxa"/>
            <w:bottom w:w="0" w:type="dxa"/>
            <w:right w:w="108" w:type="dxa"/>
          </w:tblCellMar>
        </w:tblPrEx>
        <w:trPr>
          <w:trHeight w:val="742"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2</w:t>
            </w:r>
          </w:p>
        </w:tc>
        <w:tc>
          <w:tcPr>
            <w:tcW w:w="5343"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投标报价有算术错误的供应商接受修正后价格（评标委员会按以下原则对投标报价进行修正：（1）投标文件中的大写金额与小写金额不一致的，以大写金额为准；（2）合价金额与依据单价计算出的结果不一致的，以单价金额为准修正合价，但单价金额小数点有明显错误的除外。）</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r>
        <w:tblPrEx>
          <w:tblCellMar>
            <w:top w:w="0" w:type="dxa"/>
            <w:left w:w="108" w:type="dxa"/>
            <w:bottom w:w="0" w:type="dxa"/>
            <w:right w:w="108" w:type="dxa"/>
          </w:tblCellMar>
        </w:tblPrEx>
        <w:trPr>
          <w:trHeight w:val="701"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3</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交货期：满足招标文件规定的交货期要求。</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r>
        <w:tblPrEx>
          <w:tblCellMar>
            <w:top w:w="0" w:type="dxa"/>
            <w:left w:w="108" w:type="dxa"/>
            <w:bottom w:w="0" w:type="dxa"/>
            <w:right w:w="108" w:type="dxa"/>
          </w:tblCellMar>
        </w:tblPrEx>
        <w:trPr>
          <w:trHeight w:val="719"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4</w:t>
            </w:r>
          </w:p>
        </w:tc>
        <w:tc>
          <w:tcPr>
            <w:tcW w:w="5343" w:type="dxa"/>
            <w:tcBorders>
              <w:top w:val="single" w:color="000000" w:sz="6" w:space="0"/>
              <w:left w:val="single" w:color="000000" w:sz="6" w:space="0"/>
              <w:bottom w:val="single" w:color="000000" w:sz="6" w:space="0"/>
              <w:right w:val="single" w:color="000000" w:sz="6" w:space="0"/>
            </w:tcBorders>
            <w:vAlign w:val="center"/>
          </w:tcPr>
          <w:p>
            <w:pPr>
              <w:tabs>
                <w:tab w:val="left" w:pos="180"/>
              </w:tabs>
              <w:autoSpaceDE w:val="0"/>
              <w:autoSpaceDN w:val="0"/>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付款方式：是否同意招标文件中第四章合同中规定的付款程序。</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r>
        <w:tblPrEx>
          <w:tblCellMar>
            <w:top w:w="0" w:type="dxa"/>
            <w:left w:w="108" w:type="dxa"/>
            <w:bottom w:w="0" w:type="dxa"/>
            <w:right w:w="108" w:type="dxa"/>
          </w:tblCellMar>
        </w:tblPrEx>
        <w:trPr>
          <w:trHeight w:val="1030"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5</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投标有效期：自递交投标文件截止之日起</w:t>
            </w:r>
            <w:r>
              <w:rPr>
                <w:rFonts w:hint="eastAsia" w:ascii="宋体" w:hAnsi="宋体" w:eastAsia="宋体" w:cs="宋体"/>
                <w:color w:val="auto"/>
                <w:sz w:val="24"/>
                <w:szCs w:val="24"/>
                <w:highlight w:val="none"/>
              </w:rPr>
              <w:t>60日历天</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bl>
    <w:p>
      <w:pPr>
        <w:spacing w:line="360" w:lineRule="auto"/>
        <w:ind w:right="26" w:firstLine="420"/>
        <w:rPr>
          <w:rFonts w:ascii="宋体" w:hAnsi="宋体" w:eastAsia="宋体" w:cs="宋体"/>
          <w:b/>
          <w:color w:val="auto"/>
          <w:sz w:val="28"/>
          <w:szCs w:val="28"/>
          <w:highlight w:val="none"/>
          <w:lang w:val="zh-CN"/>
        </w:rPr>
      </w:pPr>
      <w:r>
        <w:rPr>
          <w:rFonts w:hint="eastAsia" w:ascii="宋体" w:hAnsi="宋体" w:eastAsia="宋体" w:cs="宋体"/>
          <w:color w:val="auto"/>
          <w:sz w:val="28"/>
          <w:szCs w:val="28"/>
          <w:highlight w:val="none"/>
          <w:lang w:val="zh-CN"/>
        </w:rPr>
        <w:t>以上内容要求供应商必须满足要求，如有异议请在补充栏中详细予以说明。</w:t>
      </w:r>
    </w:p>
    <w:p>
      <w:pPr>
        <w:spacing w:line="360" w:lineRule="auto"/>
        <w:ind w:firstLine="2160"/>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供应商名称：（加盖单位公章）       </w:t>
      </w:r>
    </w:p>
    <w:p>
      <w:pPr>
        <w:spacing w:line="360" w:lineRule="auto"/>
        <w:ind w:firstLine="216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法定代表人或委托代理人（签字或盖章）：</w:t>
      </w:r>
    </w:p>
    <w:p>
      <w:pPr>
        <w:spacing w:line="360" w:lineRule="auto"/>
        <w:ind w:right="26" w:firstLine="2160"/>
        <w:rPr>
          <w:rFonts w:ascii="宋体" w:hAnsi="宋体" w:eastAsia="宋体" w:cs="宋体"/>
          <w:b/>
          <w:color w:val="auto"/>
          <w:sz w:val="28"/>
          <w:highlight w:val="none"/>
          <w:lang w:val="zh-CN"/>
        </w:rPr>
      </w:pPr>
      <w:r>
        <w:rPr>
          <w:rFonts w:hint="eastAsia" w:ascii="宋体" w:hAnsi="宋体" w:eastAsia="宋体" w:cs="宋体"/>
          <w:b/>
          <w:color w:val="auto"/>
          <w:sz w:val="24"/>
          <w:szCs w:val="24"/>
          <w:highlight w:val="none"/>
          <w:lang w:val="zh-CN"/>
        </w:rPr>
        <w:t>日期：</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zh-CN"/>
        </w:rPr>
        <w:t>年</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zh-CN"/>
        </w:rPr>
        <w:t>月</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zh-CN"/>
        </w:rPr>
        <w:t>日</w:t>
      </w:r>
    </w:p>
    <w:p>
      <w:pPr>
        <w:spacing w:line="360" w:lineRule="auto"/>
        <w:jc w:val="center"/>
        <w:outlineLvl w:val="1"/>
        <w:rPr>
          <w:rFonts w:ascii="宋体" w:hAnsi="宋体" w:eastAsia="宋体" w:cs="宋体"/>
          <w:b/>
          <w:color w:val="auto"/>
          <w:szCs w:val="28"/>
          <w:highlight w:val="none"/>
          <w:lang w:val="zh-CN"/>
        </w:rPr>
      </w:pPr>
      <w:r>
        <w:rPr>
          <w:rFonts w:ascii="宋体" w:hAnsi="宋体" w:eastAsia="宋体" w:cs="宋体"/>
          <w:b/>
          <w:color w:val="auto"/>
          <w:szCs w:val="21"/>
          <w:highlight w:val="none"/>
          <w:lang w:val="zh-CN"/>
        </w:rPr>
        <w:br w:type="page"/>
      </w:r>
      <w:bookmarkStart w:id="72" w:name="_Toc72253199"/>
      <w:bookmarkStart w:id="73" w:name="_Toc25393"/>
      <w:bookmarkStart w:id="74" w:name="_Toc5922"/>
      <w:bookmarkStart w:id="75" w:name="_Toc7311"/>
      <w:bookmarkStart w:id="76" w:name="_Toc8130"/>
      <w:bookmarkStart w:id="77" w:name="_Toc3183"/>
      <w:r>
        <w:rPr>
          <w:rFonts w:hint="eastAsia" w:ascii="宋体" w:hAnsi="宋体" w:eastAsia="宋体" w:cs="宋体"/>
          <w:b/>
          <w:color w:val="auto"/>
          <w:szCs w:val="21"/>
          <w:highlight w:val="none"/>
          <w:lang w:val="zh-CN"/>
        </w:rPr>
        <w:t>六</w:t>
      </w:r>
      <w:r>
        <w:rPr>
          <w:rFonts w:hint="eastAsia" w:ascii="宋体" w:hAnsi="宋体" w:eastAsia="宋体" w:cs="宋体"/>
          <w:b/>
          <w:color w:val="auto"/>
          <w:szCs w:val="28"/>
          <w:highlight w:val="none"/>
          <w:lang w:val="zh-CN"/>
        </w:rPr>
        <w:t>、反商业贿赂承诺书</w:t>
      </w:r>
      <w:bookmarkEnd w:id="72"/>
      <w:bookmarkEnd w:id="73"/>
      <w:bookmarkEnd w:id="74"/>
      <w:bookmarkEnd w:id="75"/>
      <w:bookmarkEnd w:id="76"/>
      <w:bookmarkEnd w:id="77"/>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w:t>
      </w:r>
    </w:p>
    <w:p>
      <w:pPr>
        <w:spacing w:line="360" w:lineRule="auto"/>
        <w:ind w:firstLine="5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color w:val="auto"/>
          <w:highlight w:val="none"/>
          <w:u w:val="single"/>
          <w:lang w:val="en-US" w:eastAsia="zh-CN"/>
        </w:rPr>
        <w:t xml:space="preserve">                        </w:t>
      </w:r>
      <w:r>
        <w:rPr>
          <w:rFonts w:hint="eastAsia" w:ascii="宋体" w:hAnsi="宋体" w:eastAsia="宋体" w:cs="宋体"/>
          <w:color w:val="auto"/>
          <w:sz w:val="24"/>
          <w:szCs w:val="24"/>
          <w:highlight w:val="none"/>
        </w:rPr>
        <w:t>项目（项目交易编号：长交采2022ZB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招标活动中，我方保证做到：</w:t>
      </w:r>
    </w:p>
    <w:p>
      <w:pPr>
        <w:spacing w:line="360" w:lineRule="auto"/>
        <w:ind w:firstLine="5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一、公平竞争参加本次招标活动。</w:t>
      </w:r>
    </w:p>
    <w:p>
      <w:pPr>
        <w:spacing w:line="360" w:lineRule="auto"/>
        <w:ind w:firstLine="5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三、若出现上述行为，我方及参与投标的工作人员愿意接受按照国家法律法规等有关规定给予的处罚。</w:t>
      </w:r>
    </w:p>
    <w:p>
      <w:pPr>
        <w:spacing w:line="360" w:lineRule="auto"/>
        <w:ind w:firstLine="555"/>
        <w:outlineLvl w:val="0"/>
        <w:rPr>
          <w:rFonts w:ascii="宋体" w:hAnsi="宋体" w:eastAsia="宋体" w:cs="宋体"/>
          <w:b/>
          <w:color w:val="auto"/>
          <w:sz w:val="24"/>
          <w:szCs w:val="24"/>
          <w:highlight w:val="none"/>
        </w:rPr>
      </w:pPr>
    </w:p>
    <w:p>
      <w:pPr>
        <w:spacing w:line="360" w:lineRule="auto"/>
        <w:ind w:firstLine="3120" w:firstLineChars="1300"/>
        <w:rPr>
          <w:rFonts w:ascii="宋体" w:hAnsi="宋体" w:eastAsia="宋体" w:cs="宋体"/>
          <w:b/>
          <w:color w:val="auto"/>
          <w:sz w:val="24"/>
          <w:szCs w:val="28"/>
          <w:highlight w:val="none"/>
          <w:lang w:val="zh-CN"/>
        </w:rPr>
      </w:pPr>
      <w:r>
        <w:rPr>
          <w:rFonts w:hint="eastAsia" w:ascii="宋体" w:hAnsi="宋体" w:eastAsia="宋体" w:cs="宋体"/>
          <w:b/>
          <w:color w:val="auto"/>
          <w:sz w:val="24"/>
          <w:szCs w:val="28"/>
          <w:highlight w:val="none"/>
          <w:lang w:val="zh-CN"/>
        </w:rPr>
        <w:t xml:space="preserve">供应商名称：（加盖单位公章）  </w:t>
      </w:r>
    </w:p>
    <w:p>
      <w:pPr>
        <w:spacing w:line="360" w:lineRule="auto"/>
        <w:ind w:firstLine="3124" w:firstLineChars="1302"/>
        <w:rPr>
          <w:rFonts w:ascii="宋体" w:hAnsi="宋体" w:eastAsia="宋体" w:cs="宋体"/>
          <w:b/>
          <w:color w:val="auto"/>
          <w:sz w:val="24"/>
          <w:szCs w:val="28"/>
          <w:highlight w:val="none"/>
          <w:lang w:val="zh-CN"/>
        </w:rPr>
      </w:pPr>
      <w:r>
        <w:rPr>
          <w:rFonts w:hint="eastAsia" w:ascii="宋体" w:hAnsi="宋体" w:eastAsia="宋体" w:cs="宋体"/>
          <w:b/>
          <w:color w:val="auto"/>
          <w:sz w:val="24"/>
          <w:szCs w:val="28"/>
          <w:highlight w:val="none"/>
          <w:lang w:val="zh-CN"/>
        </w:rPr>
        <w:t>法定代表人或委托代理人（签字或盖章）：</w:t>
      </w:r>
    </w:p>
    <w:p>
      <w:pPr>
        <w:spacing w:line="360" w:lineRule="auto"/>
        <w:ind w:firstLine="3321" w:firstLineChars="1384"/>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　期：  年  月  日</w:t>
      </w:r>
    </w:p>
    <w:p>
      <w:pPr>
        <w:spacing w:line="360" w:lineRule="auto"/>
        <w:jc w:val="center"/>
        <w:rPr>
          <w:rFonts w:ascii="宋体" w:hAnsi="宋体" w:eastAsia="宋体" w:cs="宋体"/>
          <w:b/>
          <w:color w:val="auto"/>
          <w:szCs w:val="28"/>
          <w:highlight w:val="none"/>
          <w:lang w:val="zh-CN"/>
        </w:rPr>
      </w:pPr>
      <w:r>
        <w:rPr>
          <w:rFonts w:ascii="宋体" w:hAnsi="宋体" w:eastAsia="宋体" w:cs="宋体"/>
          <w:b/>
          <w:color w:val="auto"/>
          <w:szCs w:val="28"/>
          <w:highlight w:val="none"/>
          <w:lang w:val="zh-CN"/>
        </w:rPr>
        <w:br w:type="page"/>
      </w:r>
    </w:p>
    <w:p>
      <w:pPr>
        <w:spacing w:line="360" w:lineRule="auto"/>
        <w:jc w:val="center"/>
        <w:outlineLvl w:val="1"/>
        <w:rPr>
          <w:rFonts w:ascii="宋体" w:hAnsi="宋体" w:eastAsia="宋体" w:cs="宋体"/>
          <w:b/>
          <w:color w:val="auto"/>
          <w:szCs w:val="28"/>
          <w:highlight w:val="none"/>
        </w:rPr>
      </w:pPr>
      <w:bookmarkStart w:id="78" w:name="_Toc12812"/>
      <w:bookmarkStart w:id="79" w:name="_Toc22759"/>
      <w:bookmarkStart w:id="80" w:name="_Toc17205"/>
      <w:bookmarkStart w:id="81" w:name="_Toc28535"/>
      <w:bookmarkStart w:id="82" w:name="_Toc72253200"/>
      <w:bookmarkStart w:id="83" w:name="_Toc27384"/>
      <w:r>
        <w:rPr>
          <w:rFonts w:hint="eastAsia" w:ascii="宋体" w:hAnsi="宋体" w:eastAsia="宋体" w:cs="宋体"/>
          <w:b/>
          <w:color w:val="auto"/>
          <w:szCs w:val="28"/>
          <w:highlight w:val="none"/>
        </w:rPr>
        <w:t>七、</w:t>
      </w:r>
      <w:bookmarkEnd w:id="78"/>
      <w:r>
        <w:rPr>
          <w:rFonts w:hint="eastAsia" w:ascii="宋体" w:hAnsi="宋体" w:eastAsia="宋体" w:cs="宋体"/>
          <w:b/>
          <w:color w:val="auto"/>
          <w:szCs w:val="28"/>
          <w:highlight w:val="none"/>
        </w:rPr>
        <w:t>落实的政府采购政策</w:t>
      </w:r>
      <w:bookmarkEnd w:id="79"/>
      <w:bookmarkEnd w:id="80"/>
      <w:bookmarkEnd w:id="81"/>
      <w:bookmarkEnd w:id="82"/>
      <w:bookmarkEnd w:id="83"/>
    </w:p>
    <w:p>
      <w:pPr>
        <w:autoSpaceDE w:val="0"/>
        <w:autoSpaceDN w:val="0"/>
        <w:adjustRightInd w:val="0"/>
        <w:spacing w:line="360" w:lineRule="auto"/>
        <w:ind w:firstLine="480" w:firstLineChars="20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小型微型(监狱、残疾人福利性单位）企业说明</w:t>
      </w:r>
    </w:p>
    <w:p>
      <w:pPr>
        <w:pStyle w:val="24"/>
        <w:spacing w:line="440" w:lineRule="exact"/>
        <w:ind w:firstLine="48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1、支持中小微企业发展</w:t>
      </w:r>
    </w:p>
    <w:p>
      <w:pPr>
        <w:numPr>
          <w:ilvl w:val="1"/>
          <w:numId w:val="6"/>
        </w:num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4" w:name="_Toc10760"/>
      <w:r>
        <w:rPr>
          <w:rFonts w:hint="eastAsia" w:ascii="宋体" w:hAnsi="宋体" w:eastAsia="宋体" w:cs="宋体"/>
          <w:color w:val="auto"/>
          <w:sz w:val="24"/>
          <w:szCs w:val="24"/>
          <w:highlight w:val="none"/>
        </w:rPr>
        <w:t>根据财政部工业和信息化部《政府采购促进中小企业发展管理办法》(财库〔2020) 46 号）</w:t>
      </w:r>
      <w:r>
        <w:rPr>
          <w:rFonts w:hint="eastAsia" w:ascii="宋体" w:hAnsi="宋体" w:eastAsia="宋体" w:cs="宋体"/>
          <w:color w:val="auto"/>
          <w:sz w:val="24"/>
          <w:szCs w:val="24"/>
          <w:highlight w:val="none"/>
          <w:lang w:eastAsia="zh-CN"/>
        </w:rPr>
        <w:t>、河南省财政厅关于进一步做好政府采购支持中小企业发展有关事项的通知（豫财购【</w:t>
      </w:r>
      <w:r>
        <w:rPr>
          <w:rFonts w:hint="eastAsia" w:ascii="宋体" w:hAnsi="宋体" w:eastAsia="宋体" w:cs="宋体"/>
          <w:color w:val="auto"/>
          <w:sz w:val="24"/>
          <w:szCs w:val="24"/>
          <w:highlight w:val="none"/>
          <w:lang w:val="en-US" w:eastAsia="zh-CN"/>
        </w:rPr>
        <w:t>2022】5号）、</w:t>
      </w:r>
      <w:r>
        <w:rPr>
          <w:rFonts w:hint="eastAsia" w:ascii="宋体" w:hAnsi="宋体" w:eastAsia="宋体" w:cs="宋体"/>
          <w:color w:val="auto"/>
          <w:sz w:val="24"/>
          <w:szCs w:val="24"/>
          <w:highlight w:val="none"/>
        </w:rPr>
        <w:t>财政部日前印发《关于进一步加大政府采购支持中小企业力度的通知》（财库〔2022〕19号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r>
        <w:rPr>
          <w:rFonts w:hint="eastAsia" w:asciiTheme="minorEastAsia" w:hAnsiTheme="minorEastAsia" w:eastAsiaTheme="minorEastAsia" w:cstheme="minorEastAsia"/>
          <w:color w:val="auto"/>
          <w:sz w:val="24"/>
          <w:szCs w:val="24"/>
          <w:highlight w:val="none"/>
        </w:rPr>
        <w:t>，本项目在评审中对小微企业承担货物的价格给予10%的扣除。</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须提供《中小微企业声明函》，否则不予认定。</w:t>
      </w:r>
      <w:bookmarkEnd w:id="84"/>
    </w:p>
    <w:p>
      <w:pPr>
        <w:spacing w:line="360" w:lineRule="auto"/>
        <w:ind w:firstLine="480" w:firstLineChars="200"/>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1.2根据《政府采购促进中小企业发展管理办法》</w:t>
      </w:r>
      <w:r>
        <w:rPr>
          <w:rFonts w:hint="eastAsia" w:asciiTheme="minorEastAsia" w:hAnsiTheme="minorEastAsia" w:eastAsiaTheme="minorEastAsia" w:cstheme="minorEastAsia"/>
          <w:b/>
          <w:bCs/>
          <w:color w:val="auto"/>
          <w:sz w:val="24"/>
          <w:szCs w:val="24"/>
          <w:highlight w:val="none"/>
        </w:rPr>
        <w:t>第十一条</w:t>
      </w:r>
      <w:r>
        <w:rPr>
          <w:rFonts w:hint="eastAsia" w:asciiTheme="minorEastAsia" w:hAnsiTheme="minorEastAsia" w:eastAsiaTheme="minorEastAsia" w:cstheme="minorEastAsia"/>
          <w:color w:val="auto"/>
          <w:sz w:val="24"/>
          <w:szCs w:val="24"/>
          <w:highlight w:val="none"/>
        </w:rPr>
        <w:t>中小企业参加政府采购活动，应当出具本办法规定的《中小企业声明函》，否则不得享受相关中小企业扶持政策。任何单位和个人不得要求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提供《中小企业声明函》之外的中小企业身份证明文件。</w:t>
      </w:r>
    </w:p>
    <w:p>
      <w:pPr>
        <w:spacing w:line="360" w:lineRule="auto"/>
        <w:ind w:firstLine="480" w:firstLineChars="200"/>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 根据《政府采购促进中小企业发展管理办法》第十三条中标、成交人享受本办法规定的中小企业扶持政策的，采购人、采购代理机构应当随中标、成交结果公开中标、成交人的《中小企业声明函》。</w:t>
      </w:r>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5" w:name="_Toc19471"/>
      <w:r>
        <w:rPr>
          <w:rFonts w:hint="eastAsia" w:asciiTheme="minorEastAsia" w:hAnsiTheme="minorEastAsia" w:eastAsiaTheme="minorEastAsia" w:cstheme="minorEastAsia"/>
          <w:color w:val="auto"/>
          <w:sz w:val="24"/>
          <w:szCs w:val="24"/>
          <w:highlight w:val="none"/>
        </w:rPr>
        <w:t>适用招标投标法的政府采购工程建设项目，应当在公示中标候选人时公开中标候选人的《中小企业声明函》。</w:t>
      </w:r>
      <w:bookmarkEnd w:id="85"/>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6" w:name="_Toc11024"/>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对所声明内容的真实性负责，代理机构有权将相关内容进行公示，因弄虚作假导致的后果追究相应责任。</w:t>
      </w:r>
      <w:bookmarkEnd w:id="86"/>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7" w:name="_Toc11838"/>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支持监狱企业发展</w:t>
      </w:r>
      <w:bookmarkEnd w:id="87"/>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8" w:name="_Toc13780"/>
      <w:r>
        <w:rPr>
          <w:rFonts w:hint="eastAsia" w:asciiTheme="minorEastAsia" w:hAnsiTheme="minorEastAsia" w:eastAsiaTheme="minorEastAsia" w:cstheme="minorEastAsia"/>
          <w:color w:val="auto"/>
          <w:sz w:val="24"/>
          <w:szCs w:val="24"/>
          <w:highlight w:val="none"/>
        </w:rPr>
        <w:t>2.1 根据财政部、司法部发布的《关于政府采购支持监狱企业发展有关问题的通知》（财库〔2014) 68号）规定，本项目在评审中对监狱企业承担服务的价格给予10%的扣除。监狱企业作为</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须提供由省级以上监狱管理局、戒毒管理局(含新疆生产建设兵团)出具的属于监狱企业的证明文件的扫描件，否则不予认定。</w:t>
      </w:r>
      <w:bookmarkEnd w:id="88"/>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b/>
          <w:bCs/>
          <w:color w:val="auto"/>
          <w:sz w:val="24"/>
          <w:szCs w:val="24"/>
          <w:highlight w:val="none"/>
        </w:rPr>
      </w:pPr>
      <w:bookmarkStart w:id="89" w:name="_Toc22184"/>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b/>
          <w:bCs/>
          <w:color w:val="auto"/>
          <w:sz w:val="24"/>
          <w:szCs w:val="24"/>
          <w:highlight w:val="none"/>
        </w:rPr>
        <w:t>支持残疾人就业</w:t>
      </w:r>
      <w:bookmarkEnd w:id="89"/>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90" w:name="_Toc19609"/>
      <w:r>
        <w:rPr>
          <w:rFonts w:hint="eastAsia" w:asciiTheme="minorEastAsia" w:hAnsiTheme="minorEastAsia" w:eastAsiaTheme="minorEastAsia" w:cstheme="minorEastAsia"/>
          <w:b/>
          <w:bCs/>
          <w:color w:val="auto"/>
          <w:sz w:val="24"/>
          <w:szCs w:val="24"/>
          <w:highlight w:val="none"/>
        </w:rPr>
        <w:t xml:space="preserve">3.1 </w:t>
      </w:r>
      <w:r>
        <w:rPr>
          <w:rFonts w:hint="eastAsia" w:asciiTheme="minorEastAsia" w:hAnsiTheme="minorEastAsia" w:eastAsiaTheme="minorEastAsia" w:cstheme="minorEastAsia"/>
          <w:color w:val="auto"/>
          <w:sz w:val="24"/>
          <w:szCs w:val="24"/>
          <w:highlight w:val="none"/>
        </w:rPr>
        <w:t>根据财政部、民政部、中国残疾人联合会三部门发布的《关于促进残疾人就业政府采购政策的通知》（财库〔2017)141号）规定，本项目在评审中对残疾人福利性单位承担的服务的价格给予10%的扣除。残疾人福利性单位作为</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须提供《残疾人福利性单位声明函》，否则不予认定。</w:t>
      </w:r>
      <w:bookmarkEnd w:id="90"/>
    </w:p>
    <w:p>
      <w:pPr>
        <w:pStyle w:val="24"/>
        <w:widowControl/>
        <w:spacing w:line="360" w:lineRule="auto"/>
        <w:ind w:firstLine="480" w:firstLineChars="200"/>
        <w:textAlignment w:val="baseline"/>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3.2 根据</w:t>
      </w:r>
      <w:r>
        <w:rPr>
          <w:rFonts w:hint="eastAsia" w:asciiTheme="minorEastAsia" w:hAnsiTheme="minorEastAsia" w:eastAsiaTheme="minorEastAsia" w:cstheme="minorEastAsia"/>
          <w:color w:val="auto"/>
          <w:highlight w:val="none"/>
        </w:rPr>
        <w:t>《关于促进残疾人就业政府采购政策的通知》（财库〔2017)141号）第二条：中标、成交人为残疾人福利性单位的，采购人或者其委托的采购代理机构应当随中标、成交结果同时公告其《残疾人福利性单位声明函》，接受社会监督。</w:t>
      </w:r>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91" w:name="_Toc9195"/>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对所声明内容的真实性负责，代理机构有权将相关内容进行公示，因弄虚作假导致的后果按相关规定追究法律责任。</w:t>
      </w:r>
      <w:bookmarkEnd w:id="91"/>
    </w:p>
    <w:p>
      <w:pPr>
        <w:autoSpaceDE w:val="0"/>
        <w:autoSpaceDN w:val="0"/>
        <w:adjustRightInd w:val="0"/>
        <w:spacing w:line="360" w:lineRule="auto"/>
        <w:ind w:firstLine="480" w:firstLineChars="200"/>
        <w:jc w:val="left"/>
        <w:outlineLvl w:val="9"/>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4、相关证明资料附后。</w:t>
      </w:r>
    </w:p>
    <w:p>
      <w:pPr>
        <w:widowControl/>
        <w:jc w:val="left"/>
        <w:outlineLvl w:val="9"/>
        <w:rPr>
          <w:color w:val="auto"/>
          <w:highlight w:val="none"/>
        </w:rPr>
      </w:pPr>
      <w:r>
        <w:rPr>
          <w:color w:val="auto"/>
          <w:highlight w:val="none"/>
        </w:rPr>
        <w:br w:type="page"/>
      </w:r>
    </w:p>
    <w:p>
      <w:pPr>
        <w:widowControl/>
        <w:jc w:val="center"/>
        <w:rPr>
          <w:rFonts w:eastAsia="宋体"/>
          <w:color w:val="auto"/>
          <w:highlight w:val="none"/>
        </w:rPr>
      </w:pPr>
      <w:r>
        <w:rPr>
          <w:rFonts w:hint="eastAsia" w:ascii="宋体" w:hAnsi="宋体" w:eastAsia="宋体" w:cs="宋体"/>
          <w:b/>
          <w:color w:val="auto"/>
          <w:szCs w:val="28"/>
          <w:highlight w:val="none"/>
        </w:rPr>
        <w:t>1、中小企业声明函</w:t>
      </w:r>
    </w:p>
    <w:p>
      <w:pPr>
        <w:pStyle w:val="26"/>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(单位名称)的</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(项目名称及包段)采购活动，提供的货物全部由符合政策要求的中小企业制造。具体情况如下：</w:t>
      </w:r>
    </w:p>
    <w:p>
      <w:pPr>
        <w:pStyle w:val="26"/>
        <w:numPr>
          <w:ilvl w:val="0"/>
          <w:numId w:val="7"/>
        </w:num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(标的名称)属于</w:t>
      </w:r>
      <w:r>
        <w:rPr>
          <w:rFonts w:hint="eastAsia" w:ascii="宋体" w:hAnsi="宋体" w:eastAsia="宋体" w:cs="宋体"/>
          <w:color w:val="auto"/>
          <w:sz w:val="24"/>
          <w:szCs w:val="24"/>
          <w:highlight w:val="none"/>
          <w:u w:val="single"/>
          <w:lang w:val="en-US" w:eastAsia="zh-CN"/>
        </w:rPr>
        <w:t>软件和信息技术服务业</w:t>
      </w:r>
      <w:r>
        <w:rPr>
          <w:rFonts w:hint="eastAsia" w:ascii="宋体" w:hAnsi="宋体" w:eastAsia="宋体" w:cs="宋体"/>
          <w:color w:val="auto"/>
          <w:sz w:val="24"/>
          <w:szCs w:val="24"/>
          <w:highlight w:val="none"/>
          <w:lang w:eastAsia="zh-CN"/>
        </w:rPr>
        <w:t>(采购文件中明确的所属行业)行业;制造商为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(企业名称)，从业人员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万元，属于(中型企业、小型企业、微型企业）；</w:t>
      </w:r>
    </w:p>
    <w:p>
      <w:pPr>
        <w:pStyle w:val="26"/>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pPr>
        <w:pStyle w:val="26"/>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本企业对.上述声明内容的真实性负责。如有虛假，将依法承担相应责任。</w:t>
      </w:r>
    </w:p>
    <w:p>
      <w:pPr>
        <w:pStyle w:val="26"/>
        <w:spacing w:line="360" w:lineRule="auto"/>
        <w:ind w:firstLine="1440" w:firstLineChars="60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企业名称(盖章):</w:t>
      </w:r>
    </w:p>
    <w:p>
      <w:pPr>
        <w:pStyle w:val="26"/>
        <w:spacing w:line="360" w:lineRule="auto"/>
        <w:ind w:firstLine="1440" w:firstLineChars="60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日期:</w:t>
      </w:r>
    </w:p>
    <w:p>
      <w:pPr>
        <w:widowControl/>
        <w:spacing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widowControl/>
        <w:spacing w:line="360" w:lineRule="auto"/>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1、企业应认真学习相关文件，对划分标准应深入理解，遵照诚实信用原则，对提供的《中小企业声明函》的真实性按照《政府采购促进中小企业发展管理办法》第二十条承担相应责任。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《政府采购促进中小企业发展管理办法》第二十条：</w:t>
      </w:r>
      <w:r>
        <w:rPr>
          <w:rFonts w:hint="eastAsia" w:ascii="宋体" w:hAnsi="宋体" w:eastAsia="宋体" w:cs="宋体"/>
          <w:color w:val="auto"/>
          <w:sz w:val="24"/>
          <w:szCs w:val="24"/>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虛作假骗取中标，依照《中华人民共和国招标投标法》等国家有关规定追究相应责任。</w:t>
      </w:r>
    </w:p>
    <w:p>
      <w:pPr>
        <w:widowControl/>
        <w:spacing w:line="360" w:lineRule="auto"/>
        <w:ind w:firstLine="480" w:firstLineChars="200"/>
        <w:jc w:val="left"/>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从业人员、营业收入。资产总额填报上一年度数据，无上一年度数据的新成立企业可不填报。</w:t>
      </w:r>
    </w:p>
    <w:p>
      <w:pPr>
        <w:pStyle w:val="26"/>
        <w:spacing w:line="360" w:lineRule="auto"/>
        <w:ind w:firstLine="480" w:firstLineChars="200"/>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3、若不是则在内容中打上“/”，并按文件要求盖章。</w:t>
      </w:r>
    </w:p>
    <w:p>
      <w:pPr>
        <w:pStyle w:val="27"/>
        <w:ind w:firstLine="640"/>
        <w:rPr>
          <w:color w:val="auto"/>
          <w:highlight w:val="none"/>
        </w:rPr>
      </w:pPr>
      <w:r>
        <w:rPr>
          <w:color w:val="auto"/>
          <w:highlight w:val="none"/>
        </w:rPr>
        <w:br w:type="page"/>
      </w:r>
    </w:p>
    <w:p>
      <w:pPr>
        <w:autoSpaceDE w:val="0"/>
        <w:autoSpaceDN w:val="0"/>
        <w:adjustRightInd w:val="0"/>
        <w:spacing w:line="480" w:lineRule="exact"/>
        <w:jc w:val="center"/>
        <w:rPr>
          <w:rFonts w:ascii="宋体" w:hAnsi="宋体" w:eastAsia="宋体" w:cs="宋体"/>
          <w:b/>
          <w:bCs/>
          <w:color w:val="auto"/>
          <w:szCs w:val="32"/>
          <w:highlight w:val="none"/>
        </w:rPr>
      </w:pPr>
      <w:r>
        <w:rPr>
          <w:rFonts w:hint="eastAsia" w:ascii="宋体" w:hAnsi="宋体" w:eastAsia="宋体" w:cs="宋体"/>
          <w:b/>
          <w:bCs/>
          <w:color w:val="auto"/>
          <w:szCs w:val="32"/>
          <w:highlight w:val="none"/>
        </w:rPr>
        <w:t>2、残疾人福利性单位声明函</w:t>
      </w:r>
    </w:p>
    <w:p>
      <w:pPr>
        <w:autoSpaceDE w:val="0"/>
        <w:autoSpaceDN w:val="0"/>
        <w:adjustRightInd w:val="0"/>
        <w:spacing w:line="480" w:lineRule="exact"/>
        <w:jc w:val="center"/>
        <w:outlineLvl w:val="0"/>
        <w:rPr>
          <w:rFonts w:ascii="宋体" w:hAnsi="宋体" w:eastAsia="宋体" w:cs="宋体"/>
          <w:b/>
          <w:bCs/>
          <w:color w:val="auto"/>
          <w:szCs w:val="32"/>
          <w:highlight w:val="none"/>
        </w:rPr>
      </w:pP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附件一</w:t>
      </w:r>
    </w:p>
    <w:p>
      <w:pPr>
        <w:autoSpaceDE w:val="0"/>
        <w:autoSpaceDN w:val="0"/>
        <w:adjustRightInd w:val="0"/>
        <w:spacing w:line="500" w:lineRule="exact"/>
        <w:jc w:val="center"/>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残疾人福利性单位声明函</w:t>
      </w:r>
    </w:p>
    <w:p>
      <w:pPr>
        <w:spacing w:line="36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360" w:lineRule="auto"/>
        <w:ind w:firstLine="504" w:firstLineChars="200"/>
        <w:rPr>
          <w:rFonts w:ascii="宋体" w:hAnsi="宋体" w:eastAsia="宋体" w:cs="宋体"/>
          <w:color w:val="auto"/>
          <w:spacing w:val="6"/>
          <w:sz w:val="24"/>
          <w:szCs w:val="24"/>
          <w:highlight w:val="none"/>
        </w:rPr>
      </w:pPr>
    </w:p>
    <w:p>
      <w:pPr>
        <w:tabs>
          <w:tab w:val="left" w:pos="4860"/>
        </w:tabs>
        <w:spacing w:line="360" w:lineRule="auto"/>
        <w:ind w:right="1560" w:firstLine="504" w:firstLineChars="200"/>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供应商（盖章）：</w:t>
      </w:r>
    </w:p>
    <w:p>
      <w:pPr>
        <w:tabs>
          <w:tab w:val="left" w:pos="4860"/>
        </w:tabs>
        <w:spacing w:line="360" w:lineRule="auto"/>
        <w:ind w:right="1560" w:firstLine="504" w:firstLineChars="200"/>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w:t>
      </w:r>
    </w:p>
    <w:p>
      <w:pPr>
        <w:spacing w:line="500" w:lineRule="exact"/>
        <w:jc w:val="center"/>
        <w:rPr>
          <w:rFonts w:ascii="宋体" w:hAnsi="宋体" w:eastAsia="宋体" w:cs="宋体"/>
          <w:b/>
          <w:color w:val="auto"/>
          <w:highlight w:val="none"/>
        </w:rPr>
      </w:pPr>
    </w:p>
    <w:p>
      <w:pPr>
        <w:spacing w:line="500" w:lineRule="exact"/>
        <w:jc w:val="center"/>
        <w:rPr>
          <w:rFonts w:ascii="宋体" w:hAnsi="宋体" w:eastAsia="宋体" w:cs="宋体"/>
          <w:b/>
          <w:color w:val="auto"/>
          <w:highlight w:val="none"/>
        </w:rPr>
      </w:pP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附件二</w:t>
      </w:r>
    </w:p>
    <w:p>
      <w:pPr>
        <w:pStyle w:val="26"/>
        <w:spacing w:line="52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本单位郑重声明，根据《财政部 民政部 中国残疾人联合会关于促进残疾人就业政府采购政策的通知》（财库〔2017〕141号）的规定，本单位不是残疾人福利性单位。</w:t>
      </w:r>
    </w:p>
    <w:p>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本单位对上述声明的真实性负责。如有虚假，将依法承担相应责任。</w:t>
      </w:r>
    </w:p>
    <w:p>
      <w:pPr>
        <w:spacing w:line="500" w:lineRule="exact"/>
        <w:jc w:val="center"/>
        <w:rPr>
          <w:rFonts w:ascii="宋体" w:hAnsi="宋体" w:eastAsia="宋体" w:cs="宋体"/>
          <w:b/>
          <w:color w:val="auto"/>
          <w:highlight w:val="none"/>
        </w:rPr>
      </w:pPr>
    </w:p>
    <w:p>
      <w:pPr>
        <w:spacing w:line="500" w:lineRule="exact"/>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供应商（盖章）：</w:t>
      </w:r>
    </w:p>
    <w:p>
      <w:pPr>
        <w:tabs>
          <w:tab w:val="left" w:pos="4860"/>
        </w:tabs>
        <w:spacing w:line="360" w:lineRule="auto"/>
        <w:ind w:right="1560" w:firstLine="504" w:firstLineChars="200"/>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w:t>
      </w:r>
    </w:p>
    <w:p>
      <w:pPr>
        <w:spacing w:line="360" w:lineRule="auto"/>
        <w:rPr>
          <w:rFonts w:ascii="宋体" w:hAnsi="宋体" w:eastAsia="宋体" w:cs="宋体"/>
          <w:color w:val="auto"/>
          <w:sz w:val="24"/>
          <w:szCs w:val="24"/>
          <w:highlight w:val="none"/>
        </w:rPr>
      </w:pPr>
    </w:p>
    <w:p>
      <w:pPr>
        <w:spacing w:line="500" w:lineRule="exact"/>
        <w:jc w:val="center"/>
        <w:rPr>
          <w:rFonts w:ascii="宋体" w:hAnsi="宋体" w:eastAsia="宋体" w:cs="宋体"/>
          <w:b/>
          <w:color w:val="auto"/>
          <w:highlight w:val="none"/>
        </w:rPr>
      </w:pPr>
    </w:p>
    <w:p>
      <w:pPr>
        <w:spacing w:line="360" w:lineRule="auto"/>
        <w:rPr>
          <w:rFonts w:ascii="宋体" w:hAnsi="宋体" w:eastAsia="宋体" w:cs="宋体"/>
          <w:b/>
          <w:bCs/>
          <w:color w:val="auto"/>
          <w:sz w:val="24"/>
          <w:highlight w:val="none"/>
        </w:rPr>
      </w:pPr>
      <w:r>
        <w:rPr>
          <w:rFonts w:hint="eastAsia" w:ascii="宋体" w:hAnsi="宋体" w:eastAsia="宋体" w:cs="宋体"/>
          <w:b/>
          <w:color w:val="auto"/>
          <w:kern w:val="2"/>
          <w:sz w:val="24"/>
          <w:szCs w:val="24"/>
          <w:highlight w:val="none"/>
        </w:rPr>
        <w:t>注：供应商如是残疾人福利性单位，请使用附件一，如不是，请使用附件二！！！</w:t>
      </w:r>
    </w:p>
    <w:p>
      <w:pPr>
        <w:widowControl/>
        <w:jc w:val="left"/>
        <w:rPr>
          <w:rFonts w:ascii="宋体" w:hAnsi="宋体" w:eastAsia="宋体" w:cs="宋体"/>
          <w:b/>
          <w:bCs/>
          <w:color w:val="auto"/>
          <w:sz w:val="24"/>
          <w:highlight w:val="none"/>
        </w:rPr>
      </w:pPr>
      <w:r>
        <w:rPr>
          <w:rFonts w:ascii="宋体" w:hAnsi="宋体" w:eastAsia="宋体" w:cs="宋体"/>
          <w:b/>
          <w:bCs/>
          <w:color w:val="auto"/>
          <w:sz w:val="24"/>
          <w:highlight w:val="none"/>
        </w:rPr>
        <w:br w:type="page"/>
      </w:r>
    </w:p>
    <w:p>
      <w:pPr>
        <w:tabs>
          <w:tab w:val="left" w:pos="0"/>
        </w:tabs>
        <w:spacing w:line="460" w:lineRule="exact"/>
        <w:ind w:left="640" w:leftChars="200"/>
        <w:jc w:val="center"/>
        <w:rPr>
          <w:rFonts w:ascii="宋体" w:hAnsi="宋体" w:eastAsia="宋体" w:cs="宋体"/>
          <w:b/>
          <w:bCs/>
          <w:color w:val="auto"/>
          <w:szCs w:val="32"/>
          <w:highlight w:val="none"/>
        </w:rPr>
      </w:pPr>
      <w:bookmarkStart w:id="92" w:name="_Toc20848"/>
      <w:bookmarkStart w:id="93" w:name="_Toc9764"/>
      <w:r>
        <w:rPr>
          <w:rFonts w:hint="eastAsia" w:ascii="宋体" w:hAnsi="宋体" w:eastAsia="宋体" w:cs="宋体"/>
          <w:b/>
          <w:bCs/>
          <w:color w:val="auto"/>
          <w:szCs w:val="32"/>
          <w:highlight w:val="none"/>
        </w:rPr>
        <w:t>3</w:t>
      </w:r>
      <w:r>
        <w:rPr>
          <w:rFonts w:hint="eastAsia" w:ascii="宋体" w:hAnsi="宋体" w:eastAsia="宋体" w:cs="宋体"/>
          <w:b/>
          <w:bCs/>
          <w:color w:val="auto"/>
          <w:szCs w:val="32"/>
          <w:highlight w:val="none"/>
          <w:lang w:val="zh-CN"/>
        </w:rPr>
        <w:t>、</w:t>
      </w:r>
      <w:r>
        <w:rPr>
          <w:rFonts w:ascii="宋体" w:hAnsi="宋体" w:eastAsia="宋体" w:cs="宋体"/>
          <w:b/>
          <w:bCs/>
          <w:color w:val="auto"/>
          <w:szCs w:val="32"/>
          <w:highlight w:val="none"/>
        </w:rPr>
        <w:t>监狱企业证明</w:t>
      </w:r>
      <w:bookmarkEnd w:id="92"/>
      <w:bookmarkEnd w:id="93"/>
    </w:p>
    <w:p>
      <w:pPr>
        <w:rPr>
          <w:rFonts w:ascii="宋体" w:hAnsi="宋体" w:eastAsia="宋体" w:cs="宋体"/>
          <w:b/>
          <w:bCs/>
          <w:color w:val="auto"/>
          <w:kern w:val="2"/>
          <w:sz w:val="28"/>
          <w:szCs w:val="28"/>
          <w:highlight w:val="none"/>
        </w:rPr>
      </w:pPr>
    </w:p>
    <w:p>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提供由</w:t>
      </w:r>
      <w:r>
        <w:rPr>
          <w:rFonts w:hint="eastAsia" w:ascii="宋体" w:hAnsi="宋体" w:eastAsia="宋体" w:cs="宋体"/>
          <w:b/>
          <w:bCs/>
          <w:color w:val="auto"/>
          <w:kern w:val="2"/>
          <w:sz w:val="24"/>
          <w:szCs w:val="24"/>
          <w:highlight w:val="none"/>
        </w:rPr>
        <w:t>省级以上监狱管理局、戒毒管理局(含新疆生产建设兵团)出具的属于监狱企业的证明文件</w:t>
      </w:r>
      <w:r>
        <w:rPr>
          <w:rFonts w:hint="eastAsia" w:ascii="宋体" w:hAnsi="宋体" w:eastAsia="宋体" w:cs="宋体"/>
          <w:b/>
          <w:bCs/>
          <w:color w:val="auto"/>
          <w:sz w:val="24"/>
          <w:szCs w:val="24"/>
          <w:highlight w:val="none"/>
        </w:rPr>
        <w:t>（如是非监狱企业请使用附件一）。</w:t>
      </w:r>
    </w:p>
    <w:p>
      <w:pPr>
        <w:pStyle w:val="26"/>
        <w:ind w:firstLine="241"/>
        <w:rPr>
          <w:rFonts w:ascii="宋体" w:hAnsi="宋体" w:eastAsia="宋体" w:cs="宋体"/>
          <w:b/>
          <w:bCs/>
          <w:color w:val="auto"/>
          <w:sz w:val="24"/>
          <w:szCs w:val="24"/>
          <w:highlight w:val="none"/>
          <w:lang w:eastAsia="zh-CN"/>
        </w:rPr>
      </w:pPr>
    </w:p>
    <w:p>
      <w:pPr>
        <w:pStyle w:val="26"/>
        <w:ind w:firstLine="0" w:firstLineChars="0"/>
        <w:rPr>
          <w:rFonts w:ascii="宋体" w:hAnsi="宋体" w:eastAsia="宋体" w:cs="宋体"/>
          <w:b/>
          <w:bCs/>
          <w:color w:val="auto"/>
          <w:sz w:val="24"/>
          <w:szCs w:val="24"/>
          <w:highlight w:val="none"/>
          <w:lang w:eastAsia="zh-CN"/>
        </w:rPr>
      </w:pPr>
    </w:p>
    <w:p>
      <w:pPr>
        <w:pStyle w:val="26"/>
        <w:ind w:firstLine="241"/>
        <w:rPr>
          <w:rFonts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附件一：</w:t>
      </w:r>
    </w:p>
    <w:p>
      <w:pPr>
        <w:pStyle w:val="26"/>
        <w:ind w:firstLine="241"/>
        <w:jc w:val="center"/>
        <w:rPr>
          <w:rFonts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非监狱企业声明函</w:t>
      </w:r>
    </w:p>
    <w:p>
      <w:pPr>
        <w:pStyle w:val="26"/>
        <w:spacing w:line="360" w:lineRule="auto"/>
        <w:ind w:firstLine="240"/>
        <w:rPr>
          <w:rFonts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本单位郑重声明，根据《财政部 司法部 关于政府采购支持监狱企业发展有关问题的通知》（财库[2014]68号）的规定，本单位不是监狱企业。</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rPr>
          <w:rFonts w:ascii="宋体" w:hAnsi="宋体" w:eastAsia="宋体" w:cs="宋体"/>
          <w:b/>
          <w:bCs/>
          <w:color w:val="auto"/>
          <w:highlight w:val="none"/>
        </w:rPr>
      </w:pPr>
    </w:p>
    <w:p>
      <w:pPr>
        <w:spacing w:line="360" w:lineRule="auto"/>
        <w:jc w:val="center"/>
        <w:rPr>
          <w:rFonts w:ascii="宋体" w:hAnsi="宋体" w:eastAsia="宋体" w:cs="宋体"/>
          <w:b/>
          <w:bCs/>
          <w:color w:val="auto"/>
          <w:highlight w:val="none"/>
        </w:rPr>
      </w:pPr>
    </w:p>
    <w:p>
      <w:pPr>
        <w:spacing w:line="360" w:lineRule="auto"/>
        <w:jc w:val="center"/>
        <w:rPr>
          <w:rFonts w:ascii="宋体" w:hAnsi="宋体" w:eastAsia="宋体" w:cs="宋体"/>
          <w:b/>
          <w:bCs/>
          <w:color w:val="auto"/>
          <w:highlight w:val="none"/>
        </w:rPr>
      </w:pPr>
    </w:p>
    <w:p>
      <w:pPr>
        <w:spacing w:line="360" w:lineRule="auto"/>
        <w:ind w:firstLine="2400" w:firstLineChars="10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spacing w:line="360" w:lineRule="auto"/>
        <w:ind w:firstLine="2400" w:firstLineChars="10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ind w:firstLine="2400" w:firstLineChars="1000"/>
        <w:rPr>
          <w:rFonts w:ascii="宋体" w:hAnsi="宋体" w:eastAsia="宋体" w:cs="宋体"/>
          <w:color w:val="auto"/>
          <w:sz w:val="24"/>
          <w:szCs w:val="24"/>
          <w:highlight w:val="none"/>
        </w:rPr>
      </w:pPr>
    </w:p>
    <w:p>
      <w:pPr>
        <w:rPr>
          <w:color w:val="auto"/>
          <w:highlight w:val="none"/>
          <w:lang w:val="zh-CN"/>
        </w:rPr>
      </w:pPr>
    </w:p>
    <w:p>
      <w:pPr>
        <w:rPr>
          <w:color w:val="auto"/>
          <w:highlight w:val="none"/>
          <w:lang w:val="zh-CN"/>
        </w:rPr>
      </w:pPr>
      <w:r>
        <w:rPr>
          <w:color w:val="auto"/>
          <w:highlight w:val="none"/>
          <w:lang w:val="zh-CN"/>
        </w:rPr>
        <w:br w:type="page"/>
      </w:r>
    </w:p>
    <w:p>
      <w:pPr>
        <w:autoSpaceDE w:val="0"/>
        <w:autoSpaceDN w:val="0"/>
        <w:adjustRightInd w:val="0"/>
        <w:spacing w:line="480" w:lineRule="exact"/>
        <w:jc w:val="center"/>
        <w:outlineLvl w:val="1"/>
        <w:rPr>
          <w:rFonts w:ascii="宋体" w:hAnsi="宋体" w:eastAsia="宋体"/>
          <w:b/>
          <w:color w:val="auto"/>
          <w:highlight w:val="none"/>
        </w:rPr>
      </w:pPr>
      <w:bookmarkStart w:id="94" w:name="_Toc72253201"/>
      <w:bookmarkStart w:id="95" w:name="_Toc14462"/>
      <w:bookmarkStart w:id="96" w:name="_Toc28858"/>
      <w:bookmarkStart w:id="97" w:name="_Toc11105"/>
      <w:bookmarkStart w:id="98" w:name="_Toc28269"/>
      <w:bookmarkStart w:id="99" w:name="_Toc23574"/>
      <w:r>
        <w:rPr>
          <w:rFonts w:hint="eastAsia" w:ascii="宋体" w:hAnsi="宋体" w:eastAsia="宋体" w:cs="宋体"/>
          <w:b/>
          <w:bCs/>
          <w:color w:val="auto"/>
          <w:szCs w:val="28"/>
          <w:highlight w:val="none"/>
          <w:lang w:val="zh-CN"/>
        </w:rPr>
        <w:t>八、</w:t>
      </w:r>
      <w:r>
        <w:rPr>
          <w:rFonts w:hint="eastAsia" w:ascii="宋体" w:hAnsi="宋体" w:eastAsia="宋体"/>
          <w:b/>
          <w:color w:val="auto"/>
          <w:highlight w:val="none"/>
        </w:rPr>
        <w:t>政府采购节能/环保产品汇总表</w:t>
      </w:r>
      <w:bookmarkEnd w:id="94"/>
      <w:bookmarkEnd w:id="95"/>
      <w:bookmarkEnd w:id="96"/>
      <w:bookmarkEnd w:id="97"/>
      <w:bookmarkEnd w:id="98"/>
      <w:bookmarkEnd w:id="99"/>
    </w:p>
    <w:p>
      <w:pPr>
        <w:pStyle w:val="56"/>
        <w:widowControl w:val="0"/>
        <w:spacing w:before="0" w:after="0" w:line="360" w:lineRule="auto"/>
        <w:textAlignment w:val="baseline"/>
        <w:rPr>
          <w:rFonts w:ascii="宋体" w:hAnsi="宋体" w:eastAsia="宋体"/>
          <w:b w:val="0"/>
          <w:color w:val="auto"/>
          <w:sz w:val="24"/>
          <w:highlight w:val="none"/>
          <w:u w:val="single"/>
          <w:lang w:eastAsia="zh-CN"/>
        </w:rPr>
      </w:pPr>
      <w:r>
        <w:rPr>
          <w:rFonts w:ascii="宋体" w:hAnsi="宋体" w:eastAsia="宋体"/>
          <w:b w:val="0"/>
          <w:color w:val="auto"/>
          <w:sz w:val="24"/>
          <w:highlight w:val="none"/>
        </w:rPr>
        <w:t>项目名称</w:t>
      </w:r>
      <w:r>
        <w:rPr>
          <w:rFonts w:hint="eastAsia" w:ascii="宋体" w:hAnsi="宋体" w:eastAsia="宋体"/>
          <w:b w:val="0"/>
          <w:color w:val="auto"/>
          <w:sz w:val="24"/>
          <w:highlight w:val="none"/>
          <w:lang w:eastAsia="zh-CN"/>
        </w:rPr>
        <w:t>及包段</w:t>
      </w:r>
      <w:r>
        <w:rPr>
          <w:rFonts w:hint="eastAsia" w:ascii="宋体" w:hAnsi="宋体" w:eastAsia="宋体" w:cs="宋体"/>
          <w:b w:val="0"/>
          <w:color w:val="auto"/>
          <w:sz w:val="24"/>
          <w:highlight w:val="none"/>
        </w:rPr>
        <w:t>：</w:t>
      </w:r>
    </w:p>
    <w:p>
      <w:pPr>
        <w:pStyle w:val="56"/>
        <w:widowControl w:val="0"/>
        <w:spacing w:before="0" w:after="0" w:line="360" w:lineRule="auto"/>
        <w:textAlignment w:val="baseline"/>
        <w:rPr>
          <w:rFonts w:ascii="宋体" w:hAnsi="宋体" w:eastAsia="宋体"/>
          <w:b w:val="0"/>
          <w:color w:val="auto"/>
          <w:sz w:val="24"/>
          <w:highlight w:val="none"/>
          <w:u w:val="single"/>
          <w:lang w:eastAsia="zh-CN"/>
        </w:rPr>
      </w:pPr>
      <w:r>
        <w:rPr>
          <w:rFonts w:hint="eastAsia" w:ascii="宋体" w:hAnsi="宋体" w:eastAsia="宋体"/>
          <w:b w:val="0"/>
          <w:color w:val="auto"/>
          <w:sz w:val="24"/>
          <w:highlight w:val="none"/>
          <w:lang w:eastAsia="zh-CN"/>
        </w:rPr>
        <w:t>项目交易</w:t>
      </w:r>
      <w:r>
        <w:rPr>
          <w:rFonts w:ascii="宋体" w:hAnsi="宋体" w:eastAsia="宋体"/>
          <w:b w:val="0"/>
          <w:color w:val="auto"/>
          <w:sz w:val="24"/>
          <w:highlight w:val="none"/>
        </w:rPr>
        <w:t>编号：</w:t>
      </w:r>
      <w:r>
        <w:rPr>
          <w:rFonts w:hint="eastAsia" w:ascii="宋体" w:hAnsi="宋体" w:eastAsia="宋体" w:cs="宋体"/>
          <w:b w:val="0"/>
          <w:color w:val="auto"/>
          <w:sz w:val="24"/>
          <w:highlight w:val="none"/>
          <w:lang w:eastAsia="zh-CN"/>
        </w:rPr>
        <w:t>长交采2022ZB   号</w:t>
      </w:r>
    </w:p>
    <w:tbl>
      <w:tblPr>
        <w:tblStyle w:val="2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440"/>
        <w:gridCol w:w="1260"/>
        <w:gridCol w:w="1080"/>
        <w:gridCol w:w="1620"/>
        <w:gridCol w:w="199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3"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投报产品</w:t>
            </w:r>
          </w:p>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60"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生产商</w:t>
            </w:r>
          </w:p>
        </w:tc>
        <w:tc>
          <w:tcPr>
            <w:tcW w:w="1080"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产品品牌及型号</w:t>
            </w:r>
          </w:p>
        </w:tc>
        <w:tc>
          <w:tcPr>
            <w:tcW w:w="3619" w:type="dxa"/>
            <w:gridSpan w:val="2"/>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1814"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环境标志产品认证证书编号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73" w:type="dxa"/>
            <w:vMerge w:val="continue"/>
            <w:vAlign w:val="center"/>
          </w:tcPr>
          <w:p>
            <w:pPr>
              <w:snapToGrid w:val="0"/>
              <w:jc w:val="center"/>
              <w:rPr>
                <w:rFonts w:ascii="宋体" w:hAnsi="宋体" w:eastAsia="宋体" w:cs="宋体"/>
                <w:color w:val="auto"/>
                <w:sz w:val="24"/>
                <w:szCs w:val="24"/>
                <w:highlight w:val="none"/>
              </w:rPr>
            </w:pPr>
          </w:p>
        </w:tc>
        <w:tc>
          <w:tcPr>
            <w:tcW w:w="1440" w:type="dxa"/>
            <w:vMerge w:val="continue"/>
            <w:vAlign w:val="center"/>
          </w:tcPr>
          <w:p>
            <w:pPr>
              <w:snapToGrid w:val="0"/>
              <w:jc w:val="center"/>
              <w:rPr>
                <w:rFonts w:ascii="宋体" w:hAnsi="宋体" w:eastAsia="宋体" w:cs="宋体"/>
                <w:color w:val="auto"/>
                <w:sz w:val="24"/>
                <w:szCs w:val="24"/>
                <w:highlight w:val="none"/>
              </w:rPr>
            </w:pPr>
          </w:p>
        </w:tc>
        <w:tc>
          <w:tcPr>
            <w:tcW w:w="1260" w:type="dxa"/>
            <w:vMerge w:val="continue"/>
            <w:vAlign w:val="center"/>
          </w:tcPr>
          <w:p>
            <w:pPr>
              <w:snapToGrid w:val="0"/>
              <w:jc w:val="center"/>
              <w:rPr>
                <w:rFonts w:ascii="宋体" w:hAnsi="宋体" w:eastAsia="宋体" w:cs="宋体"/>
                <w:color w:val="auto"/>
                <w:sz w:val="24"/>
                <w:szCs w:val="24"/>
                <w:highlight w:val="none"/>
              </w:rPr>
            </w:pPr>
          </w:p>
        </w:tc>
        <w:tc>
          <w:tcPr>
            <w:tcW w:w="1080" w:type="dxa"/>
            <w:vMerge w:val="continue"/>
            <w:vAlign w:val="center"/>
          </w:tcPr>
          <w:p>
            <w:pPr>
              <w:snapToGrid w:val="0"/>
              <w:jc w:val="center"/>
              <w:rPr>
                <w:rFonts w:ascii="宋体" w:hAnsi="宋体" w:eastAsia="宋体" w:cs="宋体"/>
                <w:color w:val="auto"/>
                <w:sz w:val="24"/>
                <w:szCs w:val="24"/>
                <w:highlight w:val="none"/>
              </w:rPr>
            </w:pPr>
          </w:p>
        </w:tc>
        <w:tc>
          <w:tcPr>
            <w:tcW w:w="1620" w:type="dxa"/>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是否属于强制采购产品</w:t>
            </w:r>
          </w:p>
        </w:tc>
        <w:tc>
          <w:tcPr>
            <w:tcW w:w="1999" w:type="dxa"/>
            <w:vAlign w:val="center"/>
          </w:tcPr>
          <w:p>
            <w:pPr>
              <w:widowControl/>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节能标志认证</w:t>
            </w:r>
          </w:p>
          <w:p>
            <w:pPr>
              <w:snapToGrid w:val="0"/>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证书号</w:t>
            </w:r>
          </w:p>
        </w:tc>
        <w:tc>
          <w:tcPr>
            <w:tcW w:w="1814" w:type="dxa"/>
            <w:vMerge w:val="continue"/>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snapToGrid w:val="0"/>
              <w:rPr>
                <w:rFonts w:ascii="宋体" w:hAnsi="宋体" w:eastAsia="宋体" w:cs="宋体"/>
                <w:color w:val="auto"/>
                <w:spacing w:val="38"/>
                <w:sz w:val="24"/>
                <w:szCs w:val="24"/>
                <w:highlight w:val="none"/>
              </w:rPr>
            </w:pPr>
          </w:p>
        </w:tc>
        <w:tc>
          <w:tcPr>
            <w:tcW w:w="1440" w:type="dxa"/>
          </w:tcPr>
          <w:p>
            <w:pPr>
              <w:snapToGrid w:val="0"/>
              <w:rPr>
                <w:rFonts w:ascii="宋体" w:hAnsi="宋体" w:eastAsia="宋体" w:cs="宋体"/>
                <w:color w:val="auto"/>
                <w:spacing w:val="38"/>
                <w:sz w:val="24"/>
                <w:szCs w:val="24"/>
                <w:highlight w:val="none"/>
              </w:rPr>
            </w:pPr>
          </w:p>
        </w:tc>
        <w:tc>
          <w:tcPr>
            <w:tcW w:w="1260" w:type="dxa"/>
          </w:tcPr>
          <w:p>
            <w:pPr>
              <w:snapToGrid w:val="0"/>
              <w:rPr>
                <w:rFonts w:ascii="宋体" w:hAnsi="宋体" w:eastAsia="宋体" w:cs="宋体"/>
                <w:color w:val="auto"/>
                <w:spacing w:val="38"/>
                <w:sz w:val="24"/>
                <w:szCs w:val="24"/>
                <w:highlight w:val="none"/>
              </w:rPr>
            </w:pPr>
          </w:p>
        </w:tc>
        <w:tc>
          <w:tcPr>
            <w:tcW w:w="1080" w:type="dxa"/>
          </w:tcPr>
          <w:p>
            <w:pPr>
              <w:snapToGrid w:val="0"/>
              <w:rPr>
                <w:rFonts w:ascii="宋体" w:hAnsi="宋体" w:eastAsia="宋体" w:cs="宋体"/>
                <w:color w:val="auto"/>
                <w:spacing w:val="38"/>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widowControl/>
              <w:snapToGrid w:val="0"/>
              <w:spacing w:line="400" w:lineRule="exact"/>
              <w:jc w:val="center"/>
              <w:rPr>
                <w:rFonts w:ascii="宋体" w:hAnsi="宋体" w:eastAsia="宋体" w:cs="宋体"/>
                <w:color w:val="auto"/>
                <w:sz w:val="24"/>
                <w:szCs w:val="24"/>
                <w:highlight w:val="none"/>
              </w:rPr>
            </w:pPr>
          </w:p>
        </w:tc>
        <w:tc>
          <w:tcPr>
            <w:tcW w:w="1440" w:type="dxa"/>
          </w:tcPr>
          <w:p>
            <w:pPr>
              <w:widowControl/>
              <w:snapToGrid w:val="0"/>
              <w:spacing w:line="400" w:lineRule="exact"/>
              <w:jc w:val="center"/>
              <w:rPr>
                <w:rFonts w:ascii="宋体" w:hAnsi="宋体" w:eastAsia="宋体" w:cs="宋体"/>
                <w:color w:val="auto"/>
                <w:sz w:val="24"/>
                <w:szCs w:val="24"/>
                <w:highlight w:val="none"/>
              </w:rPr>
            </w:pPr>
          </w:p>
        </w:tc>
        <w:tc>
          <w:tcPr>
            <w:tcW w:w="1260" w:type="dxa"/>
          </w:tcPr>
          <w:p>
            <w:pPr>
              <w:widowControl/>
              <w:snapToGrid w:val="0"/>
              <w:spacing w:line="400" w:lineRule="exact"/>
              <w:jc w:val="center"/>
              <w:rPr>
                <w:rFonts w:ascii="宋体" w:hAnsi="宋体" w:eastAsia="宋体" w:cs="宋体"/>
                <w:color w:val="auto"/>
                <w:sz w:val="24"/>
                <w:szCs w:val="24"/>
                <w:highlight w:val="none"/>
              </w:rPr>
            </w:pPr>
          </w:p>
        </w:tc>
        <w:tc>
          <w:tcPr>
            <w:tcW w:w="1080" w:type="dxa"/>
          </w:tcPr>
          <w:p>
            <w:pPr>
              <w:widowControl/>
              <w:snapToGrid w:val="0"/>
              <w:spacing w:line="400" w:lineRule="exact"/>
              <w:jc w:val="center"/>
              <w:rPr>
                <w:rFonts w:ascii="宋体" w:hAnsi="宋体" w:eastAsia="宋体" w:cs="宋体"/>
                <w:color w:val="auto"/>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widowControl/>
              <w:snapToGrid w:val="0"/>
              <w:spacing w:line="400" w:lineRule="exact"/>
              <w:jc w:val="center"/>
              <w:rPr>
                <w:rFonts w:ascii="宋体" w:hAnsi="宋体" w:eastAsia="宋体" w:cs="宋体"/>
                <w:color w:val="auto"/>
                <w:sz w:val="24"/>
                <w:szCs w:val="24"/>
                <w:highlight w:val="none"/>
              </w:rPr>
            </w:pPr>
          </w:p>
        </w:tc>
        <w:tc>
          <w:tcPr>
            <w:tcW w:w="1440" w:type="dxa"/>
          </w:tcPr>
          <w:p>
            <w:pPr>
              <w:widowControl/>
              <w:snapToGrid w:val="0"/>
              <w:spacing w:line="400" w:lineRule="exact"/>
              <w:jc w:val="center"/>
              <w:rPr>
                <w:rFonts w:ascii="宋体" w:hAnsi="宋体" w:eastAsia="宋体" w:cs="宋体"/>
                <w:color w:val="auto"/>
                <w:sz w:val="24"/>
                <w:szCs w:val="24"/>
                <w:highlight w:val="none"/>
              </w:rPr>
            </w:pPr>
          </w:p>
        </w:tc>
        <w:tc>
          <w:tcPr>
            <w:tcW w:w="1260" w:type="dxa"/>
          </w:tcPr>
          <w:p>
            <w:pPr>
              <w:widowControl/>
              <w:snapToGrid w:val="0"/>
              <w:spacing w:line="400" w:lineRule="exact"/>
              <w:jc w:val="center"/>
              <w:rPr>
                <w:rFonts w:ascii="宋体" w:hAnsi="宋体" w:eastAsia="宋体" w:cs="宋体"/>
                <w:color w:val="auto"/>
                <w:sz w:val="24"/>
                <w:szCs w:val="24"/>
                <w:highlight w:val="none"/>
              </w:rPr>
            </w:pPr>
          </w:p>
        </w:tc>
        <w:tc>
          <w:tcPr>
            <w:tcW w:w="1080" w:type="dxa"/>
          </w:tcPr>
          <w:p>
            <w:pPr>
              <w:widowControl/>
              <w:snapToGrid w:val="0"/>
              <w:spacing w:line="400" w:lineRule="exact"/>
              <w:jc w:val="center"/>
              <w:rPr>
                <w:rFonts w:ascii="宋体" w:hAnsi="宋体" w:eastAsia="宋体" w:cs="宋体"/>
                <w:color w:val="auto"/>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widowControl/>
              <w:snapToGrid w:val="0"/>
              <w:spacing w:line="400" w:lineRule="exact"/>
              <w:jc w:val="center"/>
              <w:rPr>
                <w:rFonts w:ascii="宋体" w:hAnsi="宋体" w:eastAsia="宋体" w:cs="宋体"/>
                <w:color w:val="auto"/>
                <w:sz w:val="24"/>
                <w:szCs w:val="24"/>
                <w:highlight w:val="none"/>
              </w:rPr>
            </w:pPr>
          </w:p>
        </w:tc>
        <w:tc>
          <w:tcPr>
            <w:tcW w:w="1440" w:type="dxa"/>
          </w:tcPr>
          <w:p>
            <w:pPr>
              <w:widowControl/>
              <w:snapToGrid w:val="0"/>
              <w:spacing w:line="400" w:lineRule="exact"/>
              <w:jc w:val="center"/>
              <w:rPr>
                <w:rFonts w:ascii="宋体" w:hAnsi="宋体" w:eastAsia="宋体" w:cs="宋体"/>
                <w:color w:val="auto"/>
                <w:sz w:val="24"/>
                <w:szCs w:val="24"/>
                <w:highlight w:val="none"/>
              </w:rPr>
            </w:pPr>
          </w:p>
        </w:tc>
        <w:tc>
          <w:tcPr>
            <w:tcW w:w="1260" w:type="dxa"/>
          </w:tcPr>
          <w:p>
            <w:pPr>
              <w:widowControl/>
              <w:snapToGrid w:val="0"/>
              <w:spacing w:line="400" w:lineRule="exact"/>
              <w:jc w:val="center"/>
              <w:rPr>
                <w:rFonts w:ascii="宋体" w:hAnsi="宋体" w:eastAsia="宋体" w:cs="宋体"/>
                <w:color w:val="auto"/>
                <w:sz w:val="24"/>
                <w:szCs w:val="24"/>
                <w:highlight w:val="none"/>
              </w:rPr>
            </w:pPr>
          </w:p>
        </w:tc>
        <w:tc>
          <w:tcPr>
            <w:tcW w:w="1080" w:type="dxa"/>
          </w:tcPr>
          <w:p>
            <w:pPr>
              <w:widowControl/>
              <w:snapToGrid w:val="0"/>
              <w:spacing w:line="400" w:lineRule="exact"/>
              <w:jc w:val="center"/>
              <w:rPr>
                <w:rFonts w:ascii="宋体" w:hAnsi="宋体" w:eastAsia="宋体" w:cs="宋体"/>
                <w:color w:val="auto"/>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widowControl/>
              <w:snapToGrid w:val="0"/>
              <w:spacing w:line="400" w:lineRule="exact"/>
              <w:jc w:val="center"/>
              <w:rPr>
                <w:rFonts w:ascii="宋体" w:hAnsi="宋体" w:eastAsia="宋体" w:cs="宋体"/>
                <w:color w:val="auto"/>
                <w:sz w:val="24"/>
                <w:szCs w:val="24"/>
                <w:highlight w:val="none"/>
              </w:rPr>
            </w:pPr>
          </w:p>
        </w:tc>
        <w:tc>
          <w:tcPr>
            <w:tcW w:w="1440" w:type="dxa"/>
          </w:tcPr>
          <w:p>
            <w:pPr>
              <w:widowControl/>
              <w:snapToGrid w:val="0"/>
              <w:spacing w:line="400" w:lineRule="exact"/>
              <w:jc w:val="center"/>
              <w:rPr>
                <w:rFonts w:ascii="宋体" w:hAnsi="宋体" w:eastAsia="宋体" w:cs="宋体"/>
                <w:color w:val="auto"/>
                <w:sz w:val="24"/>
                <w:szCs w:val="24"/>
                <w:highlight w:val="none"/>
              </w:rPr>
            </w:pPr>
          </w:p>
        </w:tc>
        <w:tc>
          <w:tcPr>
            <w:tcW w:w="1260" w:type="dxa"/>
          </w:tcPr>
          <w:p>
            <w:pPr>
              <w:widowControl/>
              <w:snapToGrid w:val="0"/>
              <w:spacing w:line="400" w:lineRule="exact"/>
              <w:jc w:val="center"/>
              <w:rPr>
                <w:rFonts w:ascii="宋体" w:hAnsi="宋体" w:eastAsia="宋体" w:cs="宋体"/>
                <w:color w:val="auto"/>
                <w:sz w:val="24"/>
                <w:szCs w:val="24"/>
                <w:highlight w:val="none"/>
              </w:rPr>
            </w:pPr>
          </w:p>
        </w:tc>
        <w:tc>
          <w:tcPr>
            <w:tcW w:w="1080" w:type="dxa"/>
          </w:tcPr>
          <w:p>
            <w:pPr>
              <w:widowControl/>
              <w:snapToGrid w:val="0"/>
              <w:spacing w:line="400" w:lineRule="exact"/>
              <w:jc w:val="center"/>
              <w:rPr>
                <w:rFonts w:ascii="宋体" w:hAnsi="宋体" w:eastAsia="宋体" w:cs="宋体"/>
                <w:color w:val="auto"/>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bl>
    <w:p>
      <w:pPr>
        <w:autoSpaceDE w:val="0"/>
        <w:autoSpaceDN w:val="0"/>
        <w:adjustRightInd w:val="0"/>
        <w:spacing w:line="500" w:lineRule="exact"/>
        <w:ind w:firstLine="3080"/>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供应商名称：（加盖单位公章）  </w:t>
      </w:r>
    </w:p>
    <w:p>
      <w:pPr>
        <w:autoSpaceDE w:val="0"/>
        <w:autoSpaceDN w:val="0"/>
        <w:adjustRightInd w:val="0"/>
        <w:spacing w:line="460" w:lineRule="exact"/>
        <w:ind w:firstLine="3050" w:firstLineChars="1271"/>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法定代表人或委托代理人（签字或盖章）：</w:t>
      </w:r>
    </w:p>
    <w:p>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日期：  年   月   日</w:t>
      </w:r>
    </w:p>
    <w:p>
      <w:pPr>
        <w:autoSpaceDE w:val="0"/>
        <w:autoSpaceDN w:val="0"/>
        <w:spacing w:line="500" w:lineRule="exact"/>
        <w:ind w:right="2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注：1、本表只填写属于政府采购节能或环保产品的投标产品，无相应产品的本表可以不填。</w:t>
      </w:r>
    </w:p>
    <w:p>
      <w:pPr>
        <w:autoSpaceDE w:val="0"/>
        <w:autoSpaceDN w:val="0"/>
        <w:spacing w:line="500" w:lineRule="exact"/>
        <w:ind w:right="26" w:firstLine="480"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2、获取国家确定的认证机构出具、处于有效期之内的节能产品、环境标志产品认证证书。</w:t>
      </w:r>
    </w:p>
    <w:p>
      <w:pPr>
        <w:autoSpaceDE w:val="0"/>
        <w:autoSpaceDN w:val="0"/>
        <w:spacing w:line="500" w:lineRule="exact"/>
        <w:ind w:right="26" w:firstLine="480" w:firstLineChars="200"/>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3、请供应商正确填写本表，所填内容将作为评审的依据。其内容或数据应与对应的证明资料相符。</w:t>
      </w:r>
    </w:p>
    <w:p>
      <w:pPr>
        <w:spacing w:line="360" w:lineRule="auto"/>
        <w:ind w:firstLine="640" w:firstLineChars="200"/>
        <w:jc w:val="left"/>
        <w:rPr>
          <w:rFonts w:ascii="宋体" w:hAnsi="宋体" w:eastAsia="宋体" w:cs="宋体"/>
          <w:b/>
          <w:bCs/>
          <w:color w:val="auto"/>
          <w:szCs w:val="28"/>
          <w:highlight w:val="none"/>
          <w:lang w:val="zh-CN"/>
        </w:rPr>
      </w:pPr>
    </w:p>
    <w:p>
      <w:pPr>
        <w:spacing w:line="360" w:lineRule="auto"/>
        <w:jc w:val="center"/>
        <w:rPr>
          <w:rFonts w:ascii="宋体" w:hAnsi="宋体" w:eastAsia="宋体" w:cs="宋体"/>
          <w:b/>
          <w:bCs/>
          <w:color w:val="auto"/>
          <w:szCs w:val="28"/>
          <w:highlight w:val="none"/>
          <w:lang w:val="zh-CN"/>
        </w:rPr>
      </w:pPr>
      <w:r>
        <w:rPr>
          <w:rFonts w:hint="eastAsia" w:ascii="宋体" w:hAnsi="宋体" w:eastAsia="宋体" w:cs="宋体"/>
          <w:b/>
          <w:bCs/>
          <w:color w:val="auto"/>
          <w:szCs w:val="28"/>
          <w:highlight w:val="none"/>
          <w:lang w:val="zh-CN"/>
        </w:rPr>
        <w:br w:type="page"/>
      </w:r>
    </w:p>
    <w:p>
      <w:pPr>
        <w:spacing w:line="360" w:lineRule="auto"/>
        <w:jc w:val="center"/>
        <w:outlineLvl w:val="1"/>
        <w:rPr>
          <w:rFonts w:ascii="宋体" w:hAnsi="宋体" w:eastAsia="宋体" w:cs="宋体"/>
          <w:b/>
          <w:bCs/>
          <w:color w:val="auto"/>
          <w:szCs w:val="28"/>
          <w:highlight w:val="none"/>
          <w:lang w:val="zh-CN"/>
        </w:rPr>
      </w:pPr>
      <w:bookmarkStart w:id="100" w:name="_Toc12484"/>
      <w:bookmarkStart w:id="101" w:name="_Toc31123"/>
      <w:bookmarkStart w:id="102" w:name="_Toc27691"/>
      <w:bookmarkStart w:id="103" w:name="_Toc9581"/>
      <w:bookmarkStart w:id="104" w:name="_Toc72253202"/>
      <w:bookmarkStart w:id="105" w:name="_Toc17325"/>
      <w:r>
        <w:rPr>
          <w:rFonts w:hint="eastAsia" w:ascii="宋体" w:hAnsi="宋体" w:eastAsia="宋体" w:cs="宋体"/>
          <w:b/>
          <w:bCs/>
          <w:color w:val="auto"/>
          <w:szCs w:val="28"/>
          <w:highlight w:val="none"/>
          <w:lang w:val="zh-CN"/>
        </w:rPr>
        <w:t>九、详细技术配置及参数偏差表</w:t>
      </w:r>
      <w:bookmarkEnd w:id="100"/>
      <w:bookmarkEnd w:id="101"/>
      <w:bookmarkEnd w:id="102"/>
      <w:bookmarkEnd w:id="103"/>
      <w:bookmarkEnd w:id="104"/>
      <w:bookmarkEnd w:id="105"/>
    </w:p>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项目名称及包段：</w:t>
      </w:r>
    </w:p>
    <w:tbl>
      <w:tblPr>
        <w:tblStyle w:val="28"/>
        <w:tblW w:w="9587" w:type="dxa"/>
        <w:tblInd w:w="-464" w:type="dxa"/>
        <w:tblLayout w:type="fixed"/>
        <w:tblCellMar>
          <w:top w:w="0" w:type="dxa"/>
          <w:left w:w="108" w:type="dxa"/>
          <w:bottom w:w="0" w:type="dxa"/>
          <w:right w:w="108" w:type="dxa"/>
        </w:tblCellMar>
      </w:tblPr>
      <w:tblGrid>
        <w:gridCol w:w="1314"/>
        <w:gridCol w:w="1395"/>
        <w:gridCol w:w="1573"/>
        <w:gridCol w:w="1281"/>
        <w:gridCol w:w="2213"/>
        <w:gridCol w:w="1811"/>
      </w:tblGrid>
      <w:tr>
        <w:tblPrEx>
          <w:tblCellMar>
            <w:top w:w="0" w:type="dxa"/>
            <w:left w:w="108" w:type="dxa"/>
            <w:bottom w:w="0" w:type="dxa"/>
            <w:right w:w="108" w:type="dxa"/>
          </w:tblCellMar>
        </w:tblPrEx>
        <w:trPr>
          <w:trHeight w:val="1802" w:hRule="atLeast"/>
        </w:trPr>
        <w:tc>
          <w:tcPr>
            <w:tcW w:w="131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 xml:space="preserve"> 货物名称</w:t>
            </w:r>
          </w:p>
        </w:tc>
        <w:tc>
          <w:tcPr>
            <w:tcW w:w="139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生产厂家</w:t>
            </w:r>
          </w:p>
        </w:tc>
        <w:tc>
          <w:tcPr>
            <w:tcW w:w="1573" w:type="dxa"/>
            <w:tcBorders>
              <w:top w:val="single" w:color="auto" w:sz="6" w:space="0"/>
              <w:left w:val="single" w:color="auto" w:sz="6" w:space="0"/>
              <w:bottom w:val="single" w:color="auto" w:sz="6" w:space="0"/>
              <w:right w:val="single" w:color="auto" w:sz="6" w:space="0"/>
            </w:tcBorders>
            <w:vAlign w:val="center"/>
          </w:tcPr>
          <w:p>
            <w:pPr>
              <w:spacing w:line="480" w:lineRule="exact"/>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招标文件技术参数要求</w:t>
            </w:r>
          </w:p>
        </w:tc>
        <w:tc>
          <w:tcPr>
            <w:tcW w:w="1281"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投标文件技术参数</w:t>
            </w:r>
          </w:p>
        </w:tc>
        <w:tc>
          <w:tcPr>
            <w:tcW w:w="2213"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TW" w:eastAsia="zh-TW"/>
              </w:rPr>
              <w:t>是否偏离（无偏离/正偏离/负偏离）</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80" w:lineRule="exact"/>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是否附有产品</w:t>
            </w:r>
          </w:p>
          <w:p>
            <w:pPr>
              <w:spacing w:line="480" w:lineRule="exact"/>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技术证明资料</w:t>
            </w:r>
          </w:p>
        </w:tc>
      </w:tr>
      <w:tr>
        <w:tblPrEx>
          <w:tblCellMar>
            <w:top w:w="0" w:type="dxa"/>
            <w:left w:w="108" w:type="dxa"/>
            <w:bottom w:w="0" w:type="dxa"/>
            <w:right w:w="108" w:type="dxa"/>
          </w:tblCellMar>
        </w:tblPrEx>
        <w:trPr>
          <w:trHeight w:val="580" w:hRule="atLeast"/>
        </w:trPr>
        <w:tc>
          <w:tcPr>
            <w:tcW w:w="1314"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380" w:hRule="atLeast"/>
        </w:trPr>
        <w:tc>
          <w:tcPr>
            <w:tcW w:w="1314"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460" w:hRule="atLeast"/>
        </w:trPr>
        <w:tc>
          <w:tcPr>
            <w:tcW w:w="1314"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460" w:hRule="atLeast"/>
        </w:trPr>
        <w:tc>
          <w:tcPr>
            <w:tcW w:w="1314"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440" w:hRule="atLeast"/>
        </w:trPr>
        <w:tc>
          <w:tcPr>
            <w:tcW w:w="1314"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480" w:hRule="atLeast"/>
        </w:trPr>
        <w:tc>
          <w:tcPr>
            <w:tcW w:w="1314"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r>
    </w:tbl>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说明：</w:t>
      </w:r>
    </w:p>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供应商必须如实填写本表，如供应商对本文件技术规格要求具有正、负偏离的，必须在本表中注明，如未提供本偏差表的，或存在有偏差但未在“偏差详细描述栏”中详细进行描述的，评标委员会将可能不予推荐。</w:t>
      </w:r>
    </w:p>
    <w:p>
      <w:pPr>
        <w:rPr>
          <w:rFonts w:ascii="宋体" w:hAnsi="宋体" w:eastAsia="宋体" w:cs="宋体"/>
          <w:b/>
          <w:bCs/>
          <w:color w:val="auto"/>
          <w:szCs w:val="28"/>
          <w:highlight w:val="none"/>
          <w:lang w:val="zh-CN"/>
        </w:rPr>
      </w:pPr>
      <w:r>
        <w:rPr>
          <w:rFonts w:hint="eastAsia" w:ascii="宋体" w:hAnsi="宋体" w:eastAsia="宋体" w:cs="宋体"/>
          <w:b/>
          <w:bCs/>
          <w:color w:val="auto"/>
          <w:szCs w:val="28"/>
          <w:highlight w:val="none"/>
          <w:lang w:val="zh-CN"/>
        </w:rPr>
        <w:br w:type="page"/>
      </w:r>
    </w:p>
    <w:p>
      <w:pPr>
        <w:jc w:val="center"/>
        <w:outlineLvl w:val="1"/>
        <w:rPr>
          <w:rFonts w:ascii="宋体" w:hAnsi="宋体" w:eastAsia="宋体" w:cs="宋体"/>
          <w:b/>
          <w:bCs/>
          <w:color w:val="auto"/>
          <w:szCs w:val="28"/>
          <w:highlight w:val="none"/>
          <w:lang w:val="zh-CN"/>
        </w:rPr>
      </w:pPr>
      <w:bookmarkStart w:id="106" w:name="_Toc13002"/>
      <w:bookmarkStart w:id="107" w:name="_Toc6153"/>
      <w:bookmarkStart w:id="108" w:name="_Toc4427"/>
      <w:bookmarkStart w:id="109" w:name="_Toc22474"/>
      <w:bookmarkStart w:id="110" w:name="_Toc12499"/>
      <w:bookmarkStart w:id="111" w:name="_Toc72253204"/>
      <w:r>
        <w:rPr>
          <w:rFonts w:hint="eastAsia" w:ascii="宋体" w:hAnsi="宋体" w:eastAsia="宋体" w:cs="宋体"/>
          <w:b/>
          <w:bCs/>
          <w:color w:val="auto"/>
          <w:szCs w:val="28"/>
          <w:highlight w:val="none"/>
          <w:lang w:val="zh-CN"/>
        </w:rPr>
        <w:t>十、其他资料</w:t>
      </w:r>
      <w:bookmarkEnd w:id="106"/>
      <w:bookmarkEnd w:id="107"/>
      <w:bookmarkEnd w:id="108"/>
      <w:bookmarkEnd w:id="109"/>
      <w:bookmarkEnd w:id="110"/>
      <w:bookmarkEnd w:id="111"/>
    </w:p>
    <w:p>
      <w:pPr>
        <w:pStyle w:val="26"/>
        <w:spacing w:after="0" w:line="360" w:lineRule="auto"/>
        <w:ind w:firstLine="241"/>
        <w:rPr>
          <w:rFonts w:ascii="宋体" w:hAnsi="宋体" w:eastAsia="宋体" w:cs="宋体"/>
          <w:b/>
          <w:bCs/>
          <w:color w:val="auto"/>
          <w:sz w:val="24"/>
          <w:highlight w:val="none"/>
          <w:lang w:eastAsia="zh-CN"/>
        </w:rPr>
      </w:pPr>
      <w:r>
        <w:rPr>
          <w:rFonts w:hint="eastAsia" w:ascii="宋体" w:hAnsi="宋体" w:eastAsia="宋体" w:cs="宋体"/>
          <w:b/>
          <w:color w:val="auto"/>
          <w:sz w:val="24"/>
          <w:highlight w:val="none"/>
          <w:lang w:eastAsia="zh-CN"/>
        </w:rPr>
        <w:t>1、</w:t>
      </w:r>
      <w:r>
        <w:rPr>
          <w:rFonts w:hint="eastAsia" w:ascii="宋体" w:hAnsi="宋体" w:eastAsia="宋体" w:cs="宋体"/>
          <w:b/>
          <w:bCs/>
          <w:color w:val="auto"/>
          <w:sz w:val="24"/>
          <w:highlight w:val="none"/>
          <w:lang w:eastAsia="zh-CN"/>
        </w:rPr>
        <w:t>参加政府采购活动前三年内，在经营中没有重大违法记录的书面声明函；</w:t>
      </w:r>
    </w:p>
    <w:p>
      <w:pPr>
        <w:widowControl/>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参加政府采购活动前三年内在经营活动中没有重大违法</w:t>
      </w:r>
    </w:p>
    <w:p>
      <w:pPr>
        <w:widowControl/>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记录的书面声明</w:t>
      </w:r>
    </w:p>
    <w:p>
      <w:pPr>
        <w:widowControl/>
        <w:spacing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（身份证号码）代表本公司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（公司名称）在此郑重声明，在参加本次政府采购活动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及包段</w:t>
      </w:r>
      <w:r>
        <w:rPr>
          <w:rFonts w:hint="eastAsia" w:ascii="宋体" w:hAnsi="宋体" w:eastAsia="宋体" w:cs="宋体"/>
          <w:color w:val="auto"/>
          <w:sz w:val="24"/>
          <w:szCs w:val="24"/>
          <w:highlight w:val="none"/>
        </w:rPr>
        <w:t>）前3年内在经营活动中没有重大违法记录。本人愿为此声明的真实性负责，如有欺骗、隐瞒、谎报等行为，本人及参与评审人员愿意承担所有由此引起的法律后果，并接受有关部门依据有关法律法规给予的处罚。</w:t>
      </w:r>
    </w:p>
    <w:p>
      <w:pPr>
        <w:widowControl/>
        <w:spacing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特此声明！</w:t>
      </w:r>
    </w:p>
    <w:p>
      <w:pPr>
        <w:widowControl/>
        <w:spacing w:line="360" w:lineRule="auto"/>
        <w:jc w:val="left"/>
        <w:rPr>
          <w:rFonts w:ascii="宋体" w:hAnsi="宋体" w:eastAsia="宋体" w:cs="宋体"/>
          <w:color w:val="auto"/>
          <w:sz w:val="24"/>
          <w:szCs w:val="24"/>
          <w:highlight w:val="none"/>
        </w:rPr>
      </w:pPr>
    </w:p>
    <w:p>
      <w:pPr>
        <w:widowControl/>
        <w:spacing w:line="360" w:lineRule="auto"/>
        <w:jc w:val="left"/>
        <w:rPr>
          <w:rFonts w:ascii="宋体" w:hAnsi="宋体" w:eastAsia="宋体" w:cs="宋体"/>
          <w:color w:val="auto"/>
          <w:sz w:val="24"/>
          <w:szCs w:val="24"/>
          <w:highlight w:val="none"/>
        </w:rPr>
      </w:pPr>
    </w:p>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单位名称（公章）：</w:t>
      </w:r>
    </w:p>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法定代表人（签字或盖章）：</w:t>
      </w:r>
    </w:p>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pPr>
        <w:widowControl/>
        <w:numPr>
          <w:ilvl w:val="0"/>
          <w:numId w:val="8"/>
        </w:numPr>
        <w:spacing w:line="360" w:lineRule="auto"/>
        <w:ind w:left="-240" w:leftChars="0" w:firstLine="240" w:firstLineChars="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根据《关于在政府采购活动中查询及使用信用记录有关问题的通知》</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财库</w:t>
      </w:r>
      <w:r>
        <w:rPr>
          <w:rFonts w:hint="eastAsia" w:ascii="宋体" w:hAnsi="宋体" w:eastAsia="宋体" w:cs="宋体"/>
          <w:b/>
          <w:bCs/>
          <w:color w:val="auto"/>
          <w:sz w:val="24"/>
          <w:szCs w:val="24"/>
          <w:highlight w:val="none"/>
        </w:rPr>
        <w:t>[2016]125</w:t>
      </w:r>
      <w:r>
        <w:rPr>
          <w:rFonts w:hint="eastAsia" w:ascii="宋体" w:hAnsi="宋体" w:eastAsia="宋体" w:cs="宋体"/>
          <w:b/>
          <w:bCs/>
          <w:color w:val="auto"/>
          <w:sz w:val="24"/>
          <w:szCs w:val="24"/>
          <w:highlight w:val="none"/>
          <w:lang w:val="zh-CN"/>
        </w:rPr>
        <w:t>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的规定</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对列入失信被执行人、重大税收违法失信主体、政府采购严重违法失信行为记录名单的供应商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拒绝参与本项目政府采购活动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【查询渠道</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信用中国</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网站</w:t>
      </w:r>
      <w:r>
        <w:rPr>
          <w:rFonts w:hint="eastAsia" w:ascii="宋体" w:hAnsi="宋体" w:eastAsia="宋体" w:cs="宋体"/>
          <w:b/>
          <w:bCs/>
          <w:color w:val="auto"/>
          <w:sz w:val="24"/>
          <w:szCs w:val="24"/>
          <w:highlight w:val="none"/>
        </w:rPr>
        <w:t>（www.creditchina.gov.cn）</w:t>
      </w:r>
      <w:r>
        <w:rPr>
          <w:rFonts w:hint="eastAsia" w:ascii="宋体" w:hAnsi="宋体" w:eastAsia="宋体" w:cs="宋体"/>
          <w:b/>
          <w:bCs/>
          <w:color w:val="auto"/>
          <w:sz w:val="24"/>
          <w:szCs w:val="24"/>
          <w:highlight w:val="none"/>
          <w:lang w:val="zh-CN"/>
        </w:rPr>
        <w:t>或中国政府采购网</w:t>
      </w:r>
      <w:r>
        <w:rPr>
          <w:rFonts w:hint="eastAsia" w:ascii="宋体" w:hAnsi="宋体" w:eastAsia="宋体" w:cs="宋体"/>
          <w:b/>
          <w:bCs/>
          <w:color w:val="auto"/>
          <w:sz w:val="24"/>
          <w:szCs w:val="24"/>
          <w:highlight w:val="none"/>
        </w:rPr>
        <w:t>（www.ccgp.gov.cn）</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，任意一个网站上的查询记录；</w:t>
      </w:r>
    </w:p>
    <w:p>
      <w:pPr>
        <w:widowControl/>
        <w:spacing w:line="360" w:lineRule="auto"/>
        <w:ind w:firstLine="240" w:firstLineChars="100"/>
        <w:jc w:val="left"/>
        <w:rPr>
          <w:color w:val="auto"/>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供应商认为需要提供的其他资料。</w:t>
      </w:r>
    </w:p>
    <w:p>
      <w:pPr>
        <w:pStyle w:val="9"/>
        <w:ind w:firstLine="240" w:firstLineChars="100"/>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4、</w:t>
      </w:r>
      <w:r>
        <w:rPr>
          <w:rFonts w:hint="eastAsia" w:ascii="宋体" w:hAnsi="宋体" w:eastAsia="宋体" w:cs="宋体"/>
          <w:b/>
          <w:bCs/>
          <w:color w:val="auto"/>
          <w:szCs w:val="24"/>
          <w:highlight w:val="none"/>
          <w:lang w:val="zh-CN"/>
        </w:rPr>
        <w:t>长垣市政府采购供应商信用承诺函。</w:t>
      </w:r>
    </w:p>
    <w:p>
      <w:pPr>
        <w:spacing w:line="360" w:lineRule="auto"/>
        <w:jc w:val="center"/>
        <w:rPr>
          <w:rFonts w:ascii="宋体" w:hAnsi="宋体" w:eastAsia="宋体" w:cs="宋体"/>
          <w:b/>
          <w:bCs/>
          <w:color w:val="auto"/>
          <w:szCs w:val="32"/>
          <w:highlight w:val="none"/>
        </w:rPr>
      </w:pPr>
    </w:p>
    <w:p>
      <w:pPr>
        <w:spacing w:line="360" w:lineRule="auto"/>
        <w:jc w:val="center"/>
        <w:rPr>
          <w:rFonts w:ascii="宋体" w:hAnsi="宋体" w:eastAsia="宋体" w:cs="宋体"/>
          <w:b/>
          <w:bCs/>
          <w:color w:val="auto"/>
          <w:szCs w:val="32"/>
          <w:highlight w:val="none"/>
        </w:rPr>
      </w:pPr>
    </w:p>
    <w:p>
      <w:pPr>
        <w:spacing w:line="360" w:lineRule="auto"/>
        <w:jc w:val="center"/>
        <w:rPr>
          <w:rFonts w:ascii="宋体" w:hAnsi="宋体" w:eastAsia="宋体" w:cs="宋体"/>
          <w:b/>
          <w:bCs/>
          <w:color w:val="auto"/>
          <w:szCs w:val="32"/>
          <w:highlight w:val="none"/>
        </w:rPr>
      </w:pPr>
    </w:p>
    <w:p>
      <w:pPr>
        <w:pStyle w:val="26"/>
        <w:ind w:firstLine="201"/>
        <w:rPr>
          <w:rFonts w:ascii="宋体" w:hAnsi="宋体" w:eastAsia="宋体" w:cs="宋体"/>
          <w:b/>
          <w:bCs/>
          <w:color w:val="auto"/>
          <w:szCs w:val="32"/>
          <w:highlight w:val="none"/>
          <w:lang w:eastAsia="zh-CN"/>
        </w:rPr>
      </w:pPr>
    </w:p>
    <w:p>
      <w:pPr>
        <w:pStyle w:val="27"/>
        <w:ind w:firstLine="643"/>
        <w:rPr>
          <w:rFonts w:ascii="宋体" w:hAnsi="宋体" w:cs="宋体"/>
          <w:b/>
          <w:bCs/>
          <w:color w:val="auto"/>
          <w:szCs w:val="32"/>
          <w:highlight w:val="none"/>
        </w:rPr>
      </w:pPr>
    </w:p>
    <w:p>
      <w:pPr>
        <w:pStyle w:val="7"/>
        <w:ind w:firstLine="640"/>
        <w:rPr>
          <w:color w:val="auto"/>
          <w:highlight w:val="none"/>
        </w:rPr>
      </w:pPr>
    </w:p>
    <w:p>
      <w:pPr>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Cs w:val="32"/>
          <w:highlight w:val="none"/>
        </w:rPr>
        <w:t>长垣市政府采购供应商信用承诺函</w:t>
      </w:r>
    </w:p>
    <w:p>
      <w:pPr>
        <w:spacing w:line="4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(采购人或采购代理机构) </w:t>
      </w:r>
      <w:r>
        <w:rPr>
          <w:rFonts w:hint="eastAsia" w:ascii="宋体" w:hAnsi="宋体" w:eastAsia="宋体" w:cs="宋体"/>
          <w:color w:val="auto"/>
          <w:sz w:val="24"/>
          <w:szCs w:val="24"/>
          <w:highlight w:val="none"/>
        </w:rPr>
        <w:t>:</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我单位保证上述承诺事项的真实性，如有弄虚作假或其他违法违规行为，愿意承担一切法律责任，并承担因此所造成的一切损失。</w:t>
      </w:r>
    </w:p>
    <w:p>
      <w:pPr>
        <w:pStyle w:val="9"/>
        <w:jc w:val="right"/>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供应商(企业电子章):</w:t>
      </w:r>
    </w:p>
    <w:p>
      <w:pPr>
        <w:pStyle w:val="9"/>
        <w:jc w:val="right"/>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法定代表人或授权代表(签字或电子印章):</w:t>
      </w:r>
    </w:p>
    <w:p>
      <w:pPr>
        <w:pStyle w:val="9"/>
        <w:jc w:val="right"/>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日期:   年   月    日</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1.供应商（供应商）须在投标（响应）文件中按此模板提供承诺函，未提供视为未实质性响应招标文件要求，按无效投标处理。</w:t>
      </w:r>
    </w:p>
    <w:p>
      <w:pPr>
        <w:widowControl/>
        <w:spacing w:line="360" w:lineRule="auto"/>
        <w:ind w:firstLine="480" w:firstLineChars="2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2.供应商（供应商）的法定代表人或者授权代表的签字或盖章应真实、有效，如由授权代表签字或盖章的，应提供“法定代表人授权书”。</w:t>
      </w:r>
    </w:p>
    <w:p>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供应商在投标(响应)时，按照规定提供相关承诺函，无需再提交上述证明材料。</w:t>
      </w:r>
    </w:p>
    <w:p>
      <w:pPr>
        <w:spacing w:line="500" w:lineRule="exact"/>
        <w:rPr>
          <w:rFonts w:ascii="宋体" w:hAnsi="宋体" w:eastAsia="宋体" w:cs="宋体"/>
          <w:b/>
          <w:color w:val="auto"/>
          <w:sz w:val="30"/>
          <w:szCs w:val="30"/>
          <w:highlight w:val="none"/>
        </w:rPr>
      </w:pPr>
    </w:p>
    <w:sectPr>
      <w:footerReference r:id="rId11" w:type="default"/>
      <w:pgSz w:w="11906" w:h="16838"/>
      <w:pgMar w:top="1134" w:right="1191" w:bottom="851" w:left="1191" w:header="964" w:footer="85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体">
    <w:altName w:val="仿宋"/>
    <w:panose1 w:val="00000000000000000000"/>
    <w:charset w:val="86"/>
    <w:family w:val="moder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
    <w:altName w:val="Arial"/>
    <w:panose1 w:val="00000000000000000000"/>
    <w:charset w:val="00"/>
    <w:family w:val="swiss"/>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Fon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10"/>
        <w:tab w:val="clear" w:pos="4153"/>
      </w:tabs>
      <w:rPr>
        <w:rFonts w:ascii="宋体" w:hAnsi="宋体" w:eastAsia="宋体" w:cs="宋体"/>
        <w:bCs/>
        <w:sz w:val="20"/>
        <w:szCs w:val="20"/>
        <w:shd w:val="clear" w:color="auto" w:fill="FFFFFF"/>
      </w:rPr>
    </w:pPr>
    <w:r>
      <w:rPr>
        <w:rFonts w:hint="eastAsia" w:ascii="宋体" w:hAnsi="宋体" w:eastAsia="宋体" w:cs="宋体"/>
        <w:bCs/>
        <w:sz w:val="20"/>
        <w:szCs w:val="20"/>
        <w:shd w:val="clear" w:color="auto" w:fill="FFFFFF"/>
      </w:rPr>
      <w:t>河南省新源建设工程管理有限公司</w:t>
    </w:r>
    <w:r>
      <w:rPr>
        <w:rFonts w:hint="eastAsia" w:ascii="宋体" w:hAnsi="宋体" w:eastAsia="宋体" w:cs="宋体"/>
        <w:bCs/>
        <w:sz w:val="20"/>
        <w:szCs w:val="20"/>
        <w:shd w:val="clear" w:color="auto" w:fill="FFFFFF"/>
      </w:rPr>
      <w:tab/>
    </w:r>
    <w:r>
      <w:rPr>
        <w:rFonts w:hint="eastAsia" w:ascii="宋体" w:hAnsi="宋体" w:eastAsia="宋体" w:cs="宋体"/>
        <w:bCs/>
        <w:sz w:val="20"/>
        <w:szCs w:val="20"/>
        <w:shd w:val="clear" w:color="auto" w:fill="FFFFFF"/>
      </w:rPr>
      <w:t xml:space="preserve">                          0373-8886911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10"/>
        <w:tab w:val="clear" w:pos="4153"/>
      </w:tabs>
      <w:rPr>
        <w:rFonts w:ascii="宋体" w:hAnsi="宋体" w:eastAsia="宋体" w:cs="宋体"/>
        <w:bCs/>
        <w:sz w:val="20"/>
        <w:szCs w:val="20"/>
        <w:shd w:val="clear" w:color="auto" w:fill="FFFFFF"/>
      </w:rPr>
    </w:pPr>
    <w:r>
      <w:rPr>
        <w:rFonts w:hint="eastAsia" w:ascii="宋体" w:hAnsi="宋体" w:eastAsia="宋体" w:cs="宋体"/>
        <w:bCs/>
        <w:sz w:val="20"/>
        <w:szCs w:val="20"/>
        <w:shd w:val="clear" w:color="auto" w:fill="FFFFFF"/>
      </w:rPr>
      <w:t>河南省新源建设工程管理有限公司                          0373-8886911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10"/>
        <w:tab w:val="clear" w:pos="4153"/>
      </w:tabs>
      <w:rPr>
        <w:rFonts w:ascii="宋体" w:hAnsi="宋体" w:eastAsia="宋体" w:cs="宋体"/>
        <w:bCs/>
        <w:sz w:val="20"/>
        <w:szCs w:val="20"/>
        <w:shd w:val="clear" w:color="auto" w:fill="FFFFFF"/>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7"/>
                          </w:pPr>
                          <w:r>
                            <w:fldChar w:fldCharType="begin"/>
                          </w:r>
                          <w:r>
                            <w:instrText xml:space="preserve"> PAGE  \* MERGEFORMAT </w:instrText>
                          </w:r>
                          <w:r>
                            <w:fldChar w:fldCharType="separate"/>
                          </w:r>
                          <w:r>
                            <w:t>- 25 -</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b1lTEv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V8xZkVhgb+pPrAPkHPrqI7nfM5FT06&#10;Kgs9pWlnklLv7kH+9MzCXSPsQd0iQtcoURG7RbyZPbs64PgIUnZfoaI24hggAfU1mmgdmcEInSZz&#10;vkwmUpGUXK6vr9bEUNLR4v2Hj6tV6iDy6bJDHz4rMCwGBUcafAIXp3sfIhmRTyWxl4W9bts0/Nb+&#10;laDCmEnkI9+BeejLfjSjhOpMMhCGXaKXREED+Iuzjvao4JaeDWftF0tGxJWbApyCcgqElXSx4IGz&#10;IbwLw2oeHepDQ7iT1bdk1l4nIdHVgcPIkjYj6Ru3OK7e8/9U9eflb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G9ZUxL7AQAAAQQAAA4AAAAAAAAAAQAgAAAAIQEAAGRycy9lMm9Eb2MueG1s&#10;UEsFBgAAAAAGAAYAWQEAAI4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- 25 -</w:t>
                    </w:r>
                    <w:r>
                      <w:fldChar w:fldCharType="end"/>
                    </w:r>
                  </w:p>
                </w:txbxContent>
              </v:textbox>
            </v:shape>
          </w:pict>
        </mc:Fallback>
      </mc:AlternateContent>
    </w:r>
    <w:r>
      <w:rPr>
        <w:rFonts w:hint="eastAsia" w:ascii="宋体" w:hAnsi="宋体" w:eastAsia="宋体" w:cs="宋体"/>
        <w:bCs/>
        <w:sz w:val="20"/>
        <w:szCs w:val="20"/>
        <w:shd w:val="clear" w:color="auto" w:fill="FFFFFF"/>
      </w:rPr>
      <w:t>河南省新源建设工程管理有限公司</w:t>
    </w:r>
    <w:r>
      <w:rPr>
        <w:rFonts w:hint="eastAsia" w:ascii="宋体" w:hAnsi="宋体" w:eastAsia="宋体" w:cs="宋体"/>
        <w:bCs/>
        <w:sz w:val="20"/>
        <w:szCs w:val="20"/>
        <w:shd w:val="clear" w:color="auto" w:fill="FFFFFF"/>
      </w:rPr>
      <w:tab/>
    </w:r>
    <w:r>
      <w:rPr>
        <w:rFonts w:hint="eastAsia" w:ascii="宋体" w:hAnsi="宋体" w:eastAsia="宋体" w:cs="宋体"/>
        <w:bCs/>
        <w:sz w:val="20"/>
        <w:szCs w:val="20"/>
        <w:shd w:val="clear" w:color="auto" w:fill="FFFFFF"/>
        <w:lang w:val="en-US" w:eastAsia="zh-CN"/>
      </w:rPr>
      <w:t xml:space="preserve">               </w:t>
    </w:r>
    <w:r>
      <w:rPr>
        <w:rFonts w:hint="eastAsia" w:ascii="宋体" w:hAnsi="宋体" w:eastAsia="宋体" w:cs="宋体"/>
        <w:bCs/>
        <w:sz w:val="20"/>
        <w:szCs w:val="20"/>
        <w:shd w:val="clear" w:color="auto" w:fill="FFFFFF"/>
      </w:rPr>
      <w:t xml:space="preserve">          0373-8886911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10"/>
        <w:tab w:val="clear" w:pos="4153"/>
      </w:tabs>
      <w:rPr>
        <w:rFonts w:ascii="宋体" w:hAnsi="宋体" w:eastAsia="宋体" w:cs="宋体"/>
        <w:bCs/>
        <w:sz w:val="20"/>
        <w:szCs w:val="20"/>
        <w:shd w:val="clear" w:color="auto" w:fill="FFFFFF"/>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479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17"/>
                          </w:pPr>
                          <w:r>
                            <w:fldChar w:fldCharType="begin"/>
                          </w:r>
                          <w:r>
                            <w:instrText xml:space="preserve"> PAGE  \* MERGEFORMAT </w:instrText>
                          </w:r>
                          <w:r>
                            <w:fldChar w:fldCharType="separate"/>
                          </w:r>
                          <w:r>
                            <w:t>- 26 -</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27.05pt;mso-position-horizontal:center;mso-position-horizontal-relative:margin;mso-wrap-style:none;z-index:251660288;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26lT0gAAAAMBAAAPAAAAAAAAAAEAIAAAACIAAABkcnMvZG93bnJldi54bWxQSwEC&#10;FAAUAAAACACHTuJA3RPpd/oBAAABBAAADgAAAAAAAAABACAAAAAhAQAAZHJzL2Uyb0RvYy54bWxQ&#10;SwUGAAAAAAYABgBZAQAAj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- 26 -</w:t>
                    </w:r>
                    <w:r>
                      <w:fldChar w:fldCharType="end"/>
                    </w:r>
                  </w:p>
                </w:txbxContent>
              </v:textbox>
            </v:shape>
          </w:pict>
        </mc:Fallback>
      </mc:AlternateContent>
    </w:r>
    <w:r>
      <w:rPr>
        <w:rFonts w:hint="eastAsia" w:ascii="宋体" w:hAnsi="宋体" w:eastAsia="宋体" w:cs="宋体"/>
        <w:bCs/>
        <w:sz w:val="20"/>
        <w:szCs w:val="20"/>
        <w:shd w:val="clear" w:color="auto" w:fill="FFFFFF"/>
      </w:rPr>
      <w:t>河南省新源建设工程管理有限公司</w:t>
    </w:r>
    <w:r>
      <w:rPr>
        <w:rFonts w:hint="eastAsia" w:ascii="宋体" w:hAnsi="宋体" w:eastAsia="宋体" w:cs="宋体"/>
        <w:bCs/>
        <w:sz w:val="20"/>
        <w:szCs w:val="20"/>
        <w:shd w:val="clear" w:color="auto" w:fill="FFFFFF"/>
      </w:rPr>
      <w:tab/>
    </w:r>
    <w:r>
      <w:rPr>
        <w:rFonts w:hint="eastAsia" w:ascii="宋体" w:hAnsi="宋体" w:eastAsia="宋体" w:cs="宋体"/>
        <w:bCs/>
        <w:sz w:val="20"/>
        <w:szCs w:val="20"/>
        <w:shd w:val="clear" w:color="auto" w:fill="FFFFFF"/>
      </w:rPr>
      <w:t xml:space="preserve">                       0373-8886911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rPr>
        <w:i/>
        <w:sz w:val="21"/>
        <w:szCs w:val="21"/>
      </w:rPr>
    </w:pPr>
    <w:r>
      <w:rPr>
        <w:rFonts w:hint="eastAsia" w:ascii="宋体" w:hAnsi="宋体" w:eastAsia="宋体" w:cs="宋体"/>
        <w:bCs/>
        <w:sz w:val="22"/>
        <w:u w:val="single"/>
        <w:lang w:val="zh-CN"/>
      </w:rPr>
      <w:t xml:space="preserve">长垣技师学院(长垣职业中等学校)实训室建设项目    </w:t>
    </w:r>
    <w:r>
      <w:rPr>
        <w:rFonts w:hint="eastAsia" w:ascii="宋体" w:hAnsi="宋体" w:eastAsia="宋体" w:cs="宋体"/>
        <w:bCs/>
        <w:sz w:val="22"/>
        <w:u w:val="single"/>
      </w:rPr>
      <w:t xml:space="preserve">  </w:t>
    </w:r>
    <w:r>
      <w:rPr>
        <w:rFonts w:hint="eastAsia" w:ascii="宋体" w:hAnsi="宋体" w:eastAsia="宋体" w:cs="宋体"/>
        <w:bCs/>
        <w:sz w:val="22"/>
        <w:u w:val="single"/>
        <w:lang w:val="en-US" w:eastAsia="zh-CN"/>
      </w:rPr>
      <w:t xml:space="preserve"> </w:t>
    </w:r>
    <w:r>
      <w:rPr>
        <w:rFonts w:hint="eastAsia" w:ascii="宋体" w:hAnsi="宋体" w:eastAsia="宋体" w:cs="宋体"/>
        <w:bCs/>
        <w:sz w:val="22"/>
        <w:u w:val="single"/>
      </w:rPr>
      <w:t xml:space="preserve">  </w:t>
    </w:r>
    <w:r>
      <w:rPr>
        <w:rFonts w:hint="eastAsia" w:ascii="宋体" w:hAnsi="宋体" w:eastAsia="宋体" w:cs="宋体"/>
        <w:bCs/>
        <w:sz w:val="22"/>
        <w:u w:val="single"/>
        <w:lang w:val="en-US" w:eastAsia="zh-CN"/>
      </w:rPr>
      <w:t xml:space="preserve">                         </w:t>
    </w:r>
    <w:r>
      <w:rPr>
        <w:rFonts w:hint="eastAsia" w:ascii="宋体" w:hAnsi="宋体" w:eastAsia="宋体" w:cs="宋体"/>
        <w:bCs/>
        <w:sz w:val="22"/>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BD08C"/>
    <w:multiLevelType w:val="singleLevel"/>
    <w:tmpl w:val="841BD08C"/>
    <w:lvl w:ilvl="0" w:tentative="0">
      <w:start w:val="2"/>
      <w:numFmt w:val="decimal"/>
      <w:suff w:val="nothing"/>
      <w:lvlText w:val="%1、"/>
      <w:lvlJc w:val="left"/>
      <w:pPr>
        <w:ind w:left="-240"/>
      </w:pPr>
    </w:lvl>
  </w:abstractNum>
  <w:abstractNum w:abstractNumId="1">
    <w:nsid w:val="93722A7B"/>
    <w:multiLevelType w:val="multilevel"/>
    <w:tmpl w:val="93722A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36EABDD"/>
    <w:multiLevelType w:val="singleLevel"/>
    <w:tmpl w:val="C36EABDD"/>
    <w:lvl w:ilvl="0" w:tentative="0">
      <w:start w:val="3"/>
      <w:numFmt w:val="decimal"/>
      <w:suff w:val="space"/>
      <w:lvlText w:val="%1)"/>
      <w:lvlJc w:val="left"/>
    </w:lvl>
  </w:abstractNum>
  <w:abstractNum w:abstractNumId="3">
    <w:nsid w:val="DEE71324"/>
    <w:multiLevelType w:val="singleLevel"/>
    <w:tmpl w:val="DEE71324"/>
    <w:lvl w:ilvl="0" w:tentative="0">
      <w:start w:val="1"/>
      <w:numFmt w:val="decimal"/>
      <w:suff w:val="space"/>
      <w:lvlText w:val="%1."/>
      <w:lvlJc w:val="left"/>
    </w:lvl>
  </w:abstractNum>
  <w:abstractNum w:abstractNumId="4">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multilevel"/>
    <w:tmpl w:val="0000000A"/>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C124D22"/>
    <w:multiLevelType w:val="singleLevel"/>
    <w:tmpl w:val="3C124D22"/>
    <w:lvl w:ilvl="0" w:tentative="0">
      <w:start w:val="7"/>
      <w:numFmt w:val="chineseCounting"/>
      <w:suff w:val="space"/>
      <w:lvlText w:val="第%1章"/>
      <w:lvlJc w:val="left"/>
      <w:rPr>
        <w:rFonts w:hint="eastAsia"/>
      </w:rPr>
    </w:lvl>
  </w:abstractNum>
  <w:abstractNum w:abstractNumId="7">
    <w:nsid w:val="766DB1DF"/>
    <w:multiLevelType w:val="singleLevel"/>
    <w:tmpl w:val="766DB1DF"/>
    <w:lvl w:ilvl="0" w:tentative="0">
      <w:start w:val="1"/>
      <w:numFmt w:val="decimal"/>
      <w:suff w:val="nothing"/>
      <w:lvlText w:val="（%1）"/>
      <w:lvlJc w:val="left"/>
    </w:lvl>
  </w:abstractNum>
  <w:num w:numId="1">
    <w:abstractNumId w:val="4"/>
  </w:num>
  <w:num w:numId="2">
    <w:abstractNumId w:val="5"/>
  </w:num>
  <w:num w:numId="3">
    <w:abstractNumId w:val="7"/>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zNmNmNWJhYWRkZDRiNmUxNTIxZmY3MTkzM2RhMGUifQ=="/>
  </w:docVars>
  <w:rsids>
    <w:rsidRoot w:val="2B0F61DF"/>
    <w:rsid w:val="0000125C"/>
    <w:rsid w:val="00005780"/>
    <w:rsid w:val="0001247A"/>
    <w:rsid w:val="00052311"/>
    <w:rsid w:val="0007041E"/>
    <w:rsid w:val="00080E56"/>
    <w:rsid w:val="0008221E"/>
    <w:rsid w:val="00082A67"/>
    <w:rsid w:val="000B2CE8"/>
    <w:rsid w:val="000B5135"/>
    <w:rsid w:val="000B5FD8"/>
    <w:rsid w:val="000C2BEE"/>
    <w:rsid w:val="000E2164"/>
    <w:rsid w:val="000E7B7D"/>
    <w:rsid w:val="000F2F91"/>
    <w:rsid w:val="00105BFF"/>
    <w:rsid w:val="00116BB4"/>
    <w:rsid w:val="00124F98"/>
    <w:rsid w:val="0014033E"/>
    <w:rsid w:val="001911D8"/>
    <w:rsid w:val="00194492"/>
    <w:rsid w:val="0019460F"/>
    <w:rsid w:val="001A4A37"/>
    <w:rsid w:val="001B6C30"/>
    <w:rsid w:val="001B771A"/>
    <w:rsid w:val="001B79BA"/>
    <w:rsid w:val="002050F6"/>
    <w:rsid w:val="00270F14"/>
    <w:rsid w:val="00294F1C"/>
    <w:rsid w:val="002A235E"/>
    <w:rsid w:val="002A7DDF"/>
    <w:rsid w:val="002C6173"/>
    <w:rsid w:val="003114B0"/>
    <w:rsid w:val="0034113D"/>
    <w:rsid w:val="00360F51"/>
    <w:rsid w:val="00383CAE"/>
    <w:rsid w:val="00391A80"/>
    <w:rsid w:val="003C139D"/>
    <w:rsid w:val="003C4280"/>
    <w:rsid w:val="00410EA5"/>
    <w:rsid w:val="00451CD8"/>
    <w:rsid w:val="00473F1D"/>
    <w:rsid w:val="004A4B83"/>
    <w:rsid w:val="004F4A02"/>
    <w:rsid w:val="00516E13"/>
    <w:rsid w:val="00517998"/>
    <w:rsid w:val="005401DB"/>
    <w:rsid w:val="00540763"/>
    <w:rsid w:val="00561A6D"/>
    <w:rsid w:val="00581254"/>
    <w:rsid w:val="00587F23"/>
    <w:rsid w:val="005936E1"/>
    <w:rsid w:val="00594C13"/>
    <w:rsid w:val="00595BD2"/>
    <w:rsid w:val="00595FA8"/>
    <w:rsid w:val="005C6C24"/>
    <w:rsid w:val="0060478A"/>
    <w:rsid w:val="00611131"/>
    <w:rsid w:val="006213F4"/>
    <w:rsid w:val="00630C85"/>
    <w:rsid w:val="00645813"/>
    <w:rsid w:val="00647A6B"/>
    <w:rsid w:val="006561FC"/>
    <w:rsid w:val="00664941"/>
    <w:rsid w:val="00675FBF"/>
    <w:rsid w:val="006765E9"/>
    <w:rsid w:val="006D45C2"/>
    <w:rsid w:val="006E1529"/>
    <w:rsid w:val="006F02A2"/>
    <w:rsid w:val="006F3189"/>
    <w:rsid w:val="00701FFC"/>
    <w:rsid w:val="007138A9"/>
    <w:rsid w:val="0071674B"/>
    <w:rsid w:val="00737049"/>
    <w:rsid w:val="007634B4"/>
    <w:rsid w:val="00764C70"/>
    <w:rsid w:val="007C3706"/>
    <w:rsid w:val="007E4548"/>
    <w:rsid w:val="007F2E4F"/>
    <w:rsid w:val="007F41A7"/>
    <w:rsid w:val="00805757"/>
    <w:rsid w:val="00805B4D"/>
    <w:rsid w:val="008200E5"/>
    <w:rsid w:val="00867896"/>
    <w:rsid w:val="00874C93"/>
    <w:rsid w:val="00892696"/>
    <w:rsid w:val="008A1126"/>
    <w:rsid w:val="008C0E18"/>
    <w:rsid w:val="008E2024"/>
    <w:rsid w:val="008E7D97"/>
    <w:rsid w:val="008F1085"/>
    <w:rsid w:val="00915E7E"/>
    <w:rsid w:val="0093246E"/>
    <w:rsid w:val="00986EAC"/>
    <w:rsid w:val="009A21A7"/>
    <w:rsid w:val="009B4F9B"/>
    <w:rsid w:val="009C4FBE"/>
    <w:rsid w:val="009C5F90"/>
    <w:rsid w:val="009D09D2"/>
    <w:rsid w:val="009D5B39"/>
    <w:rsid w:val="009D7DC6"/>
    <w:rsid w:val="00A20BC2"/>
    <w:rsid w:val="00A24B21"/>
    <w:rsid w:val="00A27DC6"/>
    <w:rsid w:val="00A45E02"/>
    <w:rsid w:val="00A578EB"/>
    <w:rsid w:val="00A665E0"/>
    <w:rsid w:val="00A96B7E"/>
    <w:rsid w:val="00AA2EA0"/>
    <w:rsid w:val="00AE12AE"/>
    <w:rsid w:val="00AE1EBE"/>
    <w:rsid w:val="00AF62B4"/>
    <w:rsid w:val="00AF7AB1"/>
    <w:rsid w:val="00B12768"/>
    <w:rsid w:val="00B1762B"/>
    <w:rsid w:val="00B443DE"/>
    <w:rsid w:val="00B44BCC"/>
    <w:rsid w:val="00B66414"/>
    <w:rsid w:val="00B706B6"/>
    <w:rsid w:val="00B717CC"/>
    <w:rsid w:val="00B73BD6"/>
    <w:rsid w:val="00B7707A"/>
    <w:rsid w:val="00B948CE"/>
    <w:rsid w:val="00B962CC"/>
    <w:rsid w:val="00BC6D0D"/>
    <w:rsid w:val="00BE28C9"/>
    <w:rsid w:val="00BF1B6C"/>
    <w:rsid w:val="00C3340E"/>
    <w:rsid w:val="00C424F7"/>
    <w:rsid w:val="00C42CB1"/>
    <w:rsid w:val="00C5112D"/>
    <w:rsid w:val="00C8527A"/>
    <w:rsid w:val="00CD0025"/>
    <w:rsid w:val="00D2005C"/>
    <w:rsid w:val="00D2482F"/>
    <w:rsid w:val="00D319C6"/>
    <w:rsid w:val="00D32F26"/>
    <w:rsid w:val="00D434A2"/>
    <w:rsid w:val="00D50A39"/>
    <w:rsid w:val="00D543BC"/>
    <w:rsid w:val="00D64077"/>
    <w:rsid w:val="00D81C6F"/>
    <w:rsid w:val="00D845E3"/>
    <w:rsid w:val="00DA3156"/>
    <w:rsid w:val="00DB2DF0"/>
    <w:rsid w:val="00DB67ED"/>
    <w:rsid w:val="00DD3BAF"/>
    <w:rsid w:val="00DD6BB0"/>
    <w:rsid w:val="00E15193"/>
    <w:rsid w:val="00E91D88"/>
    <w:rsid w:val="00E92D2D"/>
    <w:rsid w:val="00EA359A"/>
    <w:rsid w:val="00EA4DAB"/>
    <w:rsid w:val="00ED1C38"/>
    <w:rsid w:val="00EE2F0D"/>
    <w:rsid w:val="00EF718F"/>
    <w:rsid w:val="00F0563B"/>
    <w:rsid w:val="00F07BD2"/>
    <w:rsid w:val="00F35BBE"/>
    <w:rsid w:val="00F40F21"/>
    <w:rsid w:val="00F5131C"/>
    <w:rsid w:val="00F60B83"/>
    <w:rsid w:val="00F650F2"/>
    <w:rsid w:val="00F91B71"/>
    <w:rsid w:val="00FB03F8"/>
    <w:rsid w:val="00FC440E"/>
    <w:rsid w:val="00FD011F"/>
    <w:rsid w:val="00FD480D"/>
    <w:rsid w:val="00FF5CE2"/>
    <w:rsid w:val="0109514B"/>
    <w:rsid w:val="01185D3C"/>
    <w:rsid w:val="011A6F6E"/>
    <w:rsid w:val="01224AC3"/>
    <w:rsid w:val="012F375D"/>
    <w:rsid w:val="0145141C"/>
    <w:rsid w:val="0167386C"/>
    <w:rsid w:val="0187192B"/>
    <w:rsid w:val="019B3634"/>
    <w:rsid w:val="019C0D4F"/>
    <w:rsid w:val="01B57A3F"/>
    <w:rsid w:val="01F96DCB"/>
    <w:rsid w:val="02056D00"/>
    <w:rsid w:val="023870D5"/>
    <w:rsid w:val="025269BE"/>
    <w:rsid w:val="026018F5"/>
    <w:rsid w:val="026538E0"/>
    <w:rsid w:val="026E7DE7"/>
    <w:rsid w:val="027754FB"/>
    <w:rsid w:val="027C21DD"/>
    <w:rsid w:val="029C2C1B"/>
    <w:rsid w:val="02C60D62"/>
    <w:rsid w:val="02CB2A23"/>
    <w:rsid w:val="02EF771F"/>
    <w:rsid w:val="02F116EB"/>
    <w:rsid w:val="03051A93"/>
    <w:rsid w:val="03100350"/>
    <w:rsid w:val="032C2780"/>
    <w:rsid w:val="035937A7"/>
    <w:rsid w:val="035E4F17"/>
    <w:rsid w:val="036363D4"/>
    <w:rsid w:val="03990BE6"/>
    <w:rsid w:val="03C156CB"/>
    <w:rsid w:val="03CE4158"/>
    <w:rsid w:val="0423685A"/>
    <w:rsid w:val="04243786"/>
    <w:rsid w:val="04317BBE"/>
    <w:rsid w:val="043833BC"/>
    <w:rsid w:val="045C6736"/>
    <w:rsid w:val="048F34E6"/>
    <w:rsid w:val="049C542D"/>
    <w:rsid w:val="04A20C1D"/>
    <w:rsid w:val="04A22EFA"/>
    <w:rsid w:val="04BA603C"/>
    <w:rsid w:val="04BF1DB9"/>
    <w:rsid w:val="04C06D31"/>
    <w:rsid w:val="04C17856"/>
    <w:rsid w:val="04D3009E"/>
    <w:rsid w:val="04E50E53"/>
    <w:rsid w:val="050063C8"/>
    <w:rsid w:val="050D331C"/>
    <w:rsid w:val="050E52C5"/>
    <w:rsid w:val="050F05C1"/>
    <w:rsid w:val="052157F1"/>
    <w:rsid w:val="052676B9"/>
    <w:rsid w:val="05342023"/>
    <w:rsid w:val="053A4B27"/>
    <w:rsid w:val="053E0C10"/>
    <w:rsid w:val="055F1CC4"/>
    <w:rsid w:val="058F08A0"/>
    <w:rsid w:val="05EA2020"/>
    <w:rsid w:val="05EC70BB"/>
    <w:rsid w:val="05F07FB7"/>
    <w:rsid w:val="0607573C"/>
    <w:rsid w:val="063E5943"/>
    <w:rsid w:val="066D6F41"/>
    <w:rsid w:val="068263A7"/>
    <w:rsid w:val="068856B0"/>
    <w:rsid w:val="06897A0E"/>
    <w:rsid w:val="06A04F45"/>
    <w:rsid w:val="06B73735"/>
    <w:rsid w:val="06C11702"/>
    <w:rsid w:val="06C62F02"/>
    <w:rsid w:val="07070701"/>
    <w:rsid w:val="071039AE"/>
    <w:rsid w:val="072906D1"/>
    <w:rsid w:val="07402CFD"/>
    <w:rsid w:val="074D225C"/>
    <w:rsid w:val="074D717F"/>
    <w:rsid w:val="075C775B"/>
    <w:rsid w:val="078C4599"/>
    <w:rsid w:val="0794660A"/>
    <w:rsid w:val="07BE0631"/>
    <w:rsid w:val="081B727D"/>
    <w:rsid w:val="08206641"/>
    <w:rsid w:val="083B07D9"/>
    <w:rsid w:val="083B77BE"/>
    <w:rsid w:val="084367D4"/>
    <w:rsid w:val="084A733F"/>
    <w:rsid w:val="0850397E"/>
    <w:rsid w:val="0884401C"/>
    <w:rsid w:val="089C056E"/>
    <w:rsid w:val="089E2843"/>
    <w:rsid w:val="08AD5D0E"/>
    <w:rsid w:val="08B30793"/>
    <w:rsid w:val="08B910B3"/>
    <w:rsid w:val="08B94F38"/>
    <w:rsid w:val="08BD647A"/>
    <w:rsid w:val="08E65ADD"/>
    <w:rsid w:val="08FE1817"/>
    <w:rsid w:val="093602F5"/>
    <w:rsid w:val="095F5316"/>
    <w:rsid w:val="09685408"/>
    <w:rsid w:val="096A0CE6"/>
    <w:rsid w:val="098C0BD9"/>
    <w:rsid w:val="099E1F14"/>
    <w:rsid w:val="09AE5791"/>
    <w:rsid w:val="09BE6E85"/>
    <w:rsid w:val="09BF3515"/>
    <w:rsid w:val="09C3197A"/>
    <w:rsid w:val="09C37BCC"/>
    <w:rsid w:val="09E36B52"/>
    <w:rsid w:val="0A183F02"/>
    <w:rsid w:val="0A7A2185"/>
    <w:rsid w:val="0ACC6C59"/>
    <w:rsid w:val="0ADF116C"/>
    <w:rsid w:val="0AE33C9E"/>
    <w:rsid w:val="0AF62067"/>
    <w:rsid w:val="0B460AB5"/>
    <w:rsid w:val="0B57681E"/>
    <w:rsid w:val="0B664E03"/>
    <w:rsid w:val="0B6947A3"/>
    <w:rsid w:val="0B703A4D"/>
    <w:rsid w:val="0B7751C9"/>
    <w:rsid w:val="0BB5631A"/>
    <w:rsid w:val="0BDD09B5"/>
    <w:rsid w:val="0BED35B4"/>
    <w:rsid w:val="0C000E69"/>
    <w:rsid w:val="0C024011"/>
    <w:rsid w:val="0C051377"/>
    <w:rsid w:val="0C241F35"/>
    <w:rsid w:val="0C293B2F"/>
    <w:rsid w:val="0C421366"/>
    <w:rsid w:val="0C642E01"/>
    <w:rsid w:val="0C6433BC"/>
    <w:rsid w:val="0C6D062D"/>
    <w:rsid w:val="0C802B8F"/>
    <w:rsid w:val="0CC219F6"/>
    <w:rsid w:val="0CCD4FA1"/>
    <w:rsid w:val="0CE8030A"/>
    <w:rsid w:val="0D020A0B"/>
    <w:rsid w:val="0D035BE6"/>
    <w:rsid w:val="0D4C30CC"/>
    <w:rsid w:val="0D565AB5"/>
    <w:rsid w:val="0D656947"/>
    <w:rsid w:val="0D731909"/>
    <w:rsid w:val="0D7A4CE0"/>
    <w:rsid w:val="0D821829"/>
    <w:rsid w:val="0D8B0A01"/>
    <w:rsid w:val="0DA9532B"/>
    <w:rsid w:val="0DC3463A"/>
    <w:rsid w:val="0DC857B1"/>
    <w:rsid w:val="0DD668BB"/>
    <w:rsid w:val="0DDD10A3"/>
    <w:rsid w:val="0DE0097A"/>
    <w:rsid w:val="0DEA2ECD"/>
    <w:rsid w:val="0DEB14A0"/>
    <w:rsid w:val="0E110EDE"/>
    <w:rsid w:val="0E230C39"/>
    <w:rsid w:val="0E4E5FF9"/>
    <w:rsid w:val="0E83792A"/>
    <w:rsid w:val="0E8C4D4C"/>
    <w:rsid w:val="0E97141C"/>
    <w:rsid w:val="0EA6553D"/>
    <w:rsid w:val="0F110EFB"/>
    <w:rsid w:val="0F1D6225"/>
    <w:rsid w:val="0F2509E1"/>
    <w:rsid w:val="0F502E05"/>
    <w:rsid w:val="0F957915"/>
    <w:rsid w:val="0F997B1B"/>
    <w:rsid w:val="0F9A317D"/>
    <w:rsid w:val="0F9C015A"/>
    <w:rsid w:val="0F9F116F"/>
    <w:rsid w:val="0FB96C98"/>
    <w:rsid w:val="0FBC7598"/>
    <w:rsid w:val="0FD22917"/>
    <w:rsid w:val="0FD52407"/>
    <w:rsid w:val="0FE279EF"/>
    <w:rsid w:val="100075DD"/>
    <w:rsid w:val="10070B10"/>
    <w:rsid w:val="10094969"/>
    <w:rsid w:val="10130D6B"/>
    <w:rsid w:val="10323944"/>
    <w:rsid w:val="105B0B5E"/>
    <w:rsid w:val="106266BF"/>
    <w:rsid w:val="10A01AF4"/>
    <w:rsid w:val="10A831F3"/>
    <w:rsid w:val="10CB7366"/>
    <w:rsid w:val="10EB4519"/>
    <w:rsid w:val="11005262"/>
    <w:rsid w:val="11110479"/>
    <w:rsid w:val="111331E7"/>
    <w:rsid w:val="111F7F26"/>
    <w:rsid w:val="11584687"/>
    <w:rsid w:val="117C36B3"/>
    <w:rsid w:val="11AB277A"/>
    <w:rsid w:val="11AC703E"/>
    <w:rsid w:val="11B01488"/>
    <w:rsid w:val="11C52D40"/>
    <w:rsid w:val="11DB18EE"/>
    <w:rsid w:val="11DD54D3"/>
    <w:rsid w:val="11DF6608"/>
    <w:rsid w:val="120B2110"/>
    <w:rsid w:val="124F7A31"/>
    <w:rsid w:val="126925F4"/>
    <w:rsid w:val="126C7677"/>
    <w:rsid w:val="12791D75"/>
    <w:rsid w:val="128123D2"/>
    <w:rsid w:val="12A1318B"/>
    <w:rsid w:val="12A64EB8"/>
    <w:rsid w:val="12C512D3"/>
    <w:rsid w:val="12D272F8"/>
    <w:rsid w:val="12DB737F"/>
    <w:rsid w:val="12E666D9"/>
    <w:rsid w:val="12F26E2C"/>
    <w:rsid w:val="13054347"/>
    <w:rsid w:val="13383630"/>
    <w:rsid w:val="13857ACA"/>
    <w:rsid w:val="139E25D6"/>
    <w:rsid w:val="13B1064D"/>
    <w:rsid w:val="13B4348C"/>
    <w:rsid w:val="13BB36C2"/>
    <w:rsid w:val="13C6662A"/>
    <w:rsid w:val="13EA1330"/>
    <w:rsid w:val="1401608E"/>
    <w:rsid w:val="141554C8"/>
    <w:rsid w:val="142825E7"/>
    <w:rsid w:val="142E1731"/>
    <w:rsid w:val="144A24F2"/>
    <w:rsid w:val="14582B1C"/>
    <w:rsid w:val="1467254A"/>
    <w:rsid w:val="147B6CEC"/>
    <w:rsid w:val="14877683"/>
    <w:rsid w:val="14885C9A"/>
    <w:rsid w:val="148D234C"/>
    <w:rsid w:val="14A35840"/>
    <w:rsid w:val="14A65BB1"/>
    <w:rsid w:val="14B7032D"/>
    <w:rsid w:val="14C82D5F"/>
    <w:rsid w:val="14CA7A9D"/>
    <w:rsid w:val="14E06DF6"/>
    <w:rsid w:val="14E10134"/>
    <w:rsid w:val="14F072B4"/>
    <w:rsid w:val="15102E2A"/>
    <w:rsid w:val="15685B08"/>
    <w:rsid w:val="15734412"/>
    <w:rsid w:val="157955E3"/>
    <w:rsid w:val="15875DA6"/>
    <w:rsid w:val="158C7430"/>
    <w:rsid w:val="15907BF8"/>
    <w:rsid w:val="15A95D6B"/>
    <w:rsid w:val="15AD10BA"/>
    <w:rsid w:val="15B605BC"/>
    <w:rsid w:val="15CC605B"/>
    <w:rsid w:val="1602163D"/>
    <w:rsid w:val="160B4A0E"/>
    <w:rsid w:val="16350FD8"/>
    <w:rsid w:val="16703B2C"/>
    <w:rsid w:val="16785DD1"/>
    <w:rsid w:val="16AF39FB"/>
    <w:rsid w:val="16BA4105"/>
    <w:rsid w:val="16C836FF"/>
    <w:rsid w:val="16CA4693"/>
    <w:rsid w:val="16D94200"/>
    <w:rsid w:val="16F12406"/>
    <w:rsid w:val="16F36034"/>
    <w:rsid w:val="170A6A0B"/>
    <w:rsid w:val="170F4451"/>
    <w:rsid w:val="17327F39"/>
    <w:rsid w:val="17417263"/>
    <w:rsid w:val="174278D5"/>
    <w:rsid w:val="175D528F"/>
    <w:rsid w:val="179E7583"/>
    <w:rsid w:val="17B71681"/>
    <w:rsid w:val="17C71A76"/>
    <w:rsid w:val="17ED6243"/>
    <w:rsid w:val="17EE3C33"/>
    <w:rsid w:val="17EF7A74"/>
    <w:rsid w:val="17F057AF"/>
    <w:rsid w:val="17F60134"/>
    <w:rsid w:val="18320C11"/>
    <w:rsid w:val="18323DA2"/>
    <w:rsid w:val="18875CE5"/>
    <w:rsid w:val="1897703F"/>
    <w:rsid w:val="18AF64CA"/>
    <w:rsid w:val="18B518D8"/>
    <w:rsid w:val="18B70C87"/>
    <w:rsid w:val="18CA5266"/>
    <w:rsid w:val="18EC155D"/>
    <w:rsid w:val="191462C1"/>
    <w:rsid w:val="193D063A"/>
    <w:rsid w:val="19430895"/>
    <w:rsid w:val="195A0722"/>
    <w:rsid w:val="195C14A3"/>
    <w:rsid w:val="19643D2C"/>
    <w:rsid w:val="197036F7"/>
    <w:rsid w:val="198D3D53"/>
    <w:rsid w:val="19A75A7B"/>
    <w:rsid w:val="19CF0653"/>
    <w:rsid w:val="19EF056A"/>
    <w:rsid w:val="1A0B6019"/>
    <w:rsid w:val="1A175D48"/>
    <w:rsid w:val="1A23484F"/>
    <w:rsid w:val="1A3F586E"/>
    <w:rsid w:val="1A456938"/>
    <w:rsid w:val="1A622CDC"/>
    <w:rsid w:val="1A846F04"/>
    <w:rsid w:val="1A8B6294"/>
    <w:rsid w:val="1A8E38DF"/>
    <w:rsid w:val="1AA730E0"/>
    <w:rsid w:val="1AF830D6"/>
    <w:rsid w:val="1AFF658A"/>
    <w:rsid w:val="1B140288"/>
    <w:rsid w:val="1B4A5416"/>
    <w:rsid w:val="1B590390"/>
    <w:rsid w:val="1B5C0A85"/>
    <w:rsid w:val="1B866CAC"/>
    <w:rsid w:val="1B8A0C53"/>
    <w:rsid w:val="1BA41CAB"/>
    <w:rsid w:val="1BAC6524"/>
    <w:rsid w:val="1BCA5071"/>
    <w:rsid w:val="1BCB53AC"/>
    <w:rsid w:val="1C1B250B"/>
    <w:rsid w:val="1C5823F6"/>
    <w:rsid w:val="1C666AAD"/>
    <w:rsid w:val="1C8002C8"/>
    <w:rsid w:val="1C834111"/>
    <w:rsid w:val="1CE37BB3"/>
    <w:rsid w:val="1CEF1FFD"/>
    <w:rsid w:val="1CF33489"/>
    <w:rsid w:val="1CF540E9"/>
    <w:rsid w:val="1D271F23"/>
    <w:rsid w:val="1D2C7D6F"/>
    <w:rsid w:val="1D7A639C"/>
    <w:rsid w:val="1DD74D24"/>
    <w:rsid w:val="1DEB0040"/>
    <w:rsid w:val="1E09108D"/>
    <w:rsid w:val="1E2B4611"/>
    <w:rsid w:val="1E334EC9"/>
    <w:rsid w:val="1E4666C6"/>
    <w:rsid w:val="1E9C5B42"/>
    <w:rsid w:val="1EC771E1"/>
    <w:rsid w:val="1ECB1FB4"/>
    <w:rsid w:val="1ECC6143"/>
    <w:rsid w:val="1ED57D2E"/>
    <w:rsid w:val="1EE75CB3"/>
    <w:rsid w:val="1EE97510"/>
    <w:rsid w:val="1F1D16D5"/>
    <w:rsid w:val="1F250E31"/>
    <w:rsid w:val="1F3224AC"/>
    <w:rsid w:val="1F43738D"/>
    <w:rsid w:val="1F62693B"/>
    <w:rsid w:val="1F696351"/>
    <w:rsid w:val="1F7C289F"/>
    <w:rsid w:val="1F7F2436"/>
    <w:rsid w:val="1F9000F9"/>
    <w:rsid w:val="1F9E6887"/>
    <w:rsid w:val="1FBC2C9C"/>
    <w:rsid w:val="1FE6673A"/>
    <w:rsid w:val="1FEE26FC"/>
    <w:rsid w:val="1FF90AE3"/>
    <w:rsid w:val="2010687A"/>
    <w:rsid w:val="201C0F0A"/>
    <w:rsid w:val="202A20F1"/>
    <w:rsid w:val="204F6F26"/>
    <w:rsid w:val="20717F2A"/>
    <w:rsid w:val="2078027E"/>
    <w:rsid w:val="208A5A46"/>
    <w:rsid w:val="20C5274F"/>
    <w:rsid w:val="20DE5B4E"/>
    <w:rsid w:val="21091F11"/>
    <w:rsid w:val="210D4C04"/>
    <w:rsid w:val="210E08BC"/>
    <w:rsid w:val="2136082C"/>
    <w:rsid w:val="213D1228"/>
    <w:rsid w:val="216A50C0"/>
    <w:rsid w:val="21AA0945"/>
    <w:rsid w:val="21AA0BA1"/>
    <w:rsid w:val="220D7077"/>
    <w:rsid w:val="223121AB"/>
    <w:rsid w:val="22523167"/>
    <w:rsid w:val="225823CC"/>
    <w:rsid w:val="228546B6"/>
    <w:rsid w:val="228E4C23"/>
    <w:rsid w:val="22953FDE"/>
    <w:rsid w:val="229C48CC"/>
    <w:rsid w:val="22B50C5F"/>
    <w:rsid w:val="22C92B71"/>
    <w:rsid w:val="22DD7D59"/>
    <w:rsid w:val="22F17100"/>
    <w:rsid w:val="22FD6682"/>
    <w:rsid w:val="23090AC9"/>
    <w:rsid w:val="230961F8"/>
    <w:rsid w:val="231E61E6"/>
    <w:rsid w:val="23300D9A"/>
    <w:rsid w:val="234546D8"/>
    <w:rsid w:val="234612EB"/>
    <w:rsid w:val="234A60E4"/>
    <w:rsid w:val="235D13B3"/>
    <w:rsid w:val="23767606"/>
    <w:rsid w:val="23A45F21"/>
    <w:rsid w:val="23AF7120"/>
    <w:rsid w:val="23EE6F27"/>
    <w:rsid w:val="2413322C"/>
    <w:rsid w:val="24160CE0"/>
    <w:rsid w:val="242A60E8"/>
    <w:rsid w:val="247678FC"/>
    <w:rsid w:val="24810968"/>
    <w:rsid w:val="24831FDA"/>
    <w:rsid w:val="248C70E1"/>
    <w:rsid w:val="248E61A1"/>
    <w:rsid w:val="24F83B6E"/>
    <w:rsid w:val="25307CAE"/>
    <w:rsid w:val="255E0D0B"/>
    <w:rsid w:val="257B0D3E"/>
    <w:rsid w:val="257F30DB"/>
    <w:rsid w:val="258E50DA"/>
    <w:rsid w:val="25983C07"/>
    <w:rsid w:val="25A27A3E"/>
    <w:rsid w:val="25CA6C55"/>
    <w:rsid w:val="25E24C8C"/>
    <w:rsid w:val="25EB241C"/>
    <w:rsid w:val="25F413E1"/>
    <w:rsid w:val="25FE46F8"/>
    <w:rsid w:val="26464C03"/>
    <w:rsid w:val="264F6FAE"/>
    <w:rsid w:val="265065C1"/>
    <w:rsid w:val="269D2997"/>
    <w:rsid w:val="26B718A7"/>
    <w:rsid w:val="26B9322F"/>
    <w:rsid w:val="26F8086E"/>
    <w:rsid w:val="271521E8"/>
    <w:rsid w:val="275D0BB2"/>
    <w:rsid w:val="276D016C"/>
    <w:rsid w:val="276E0D20"/>
    <w:rsid w:val="27895B59"/>
    <w:rsid w:val="278B67DC"/>
    <w:rsid w:val="27C274E8"/>
    <w:rsid w:val="27E255C6"/>
    <w:rsid w:val="28090D5D"/>
    <w:rsid w:val="280C12C0"/>
    <w:rsid w:val="28247630"/>
    <w:rsid w:val="2826039A"/>
    <w:rsid w:val="285A5748"/>
    <w:rsid w:val="28615DEC"/>
    <w:rsid w:val="286B7F0E"/>
    <w:rsid w:val="28783917"/>
    <w:rsid w:val="28894B41"/>
    <w:rsid w:val="28A839F9"/>
    <w:rsid w:val="28F33BD2"/>
    <w:rsid w:val="28FA4981"/>
    <w:rsid w:val="290929C3"/>
    <w:rsid w:val="293D5B68"/>
    <w:rsid w:val="29416969"/>
    <w:rsid w:val="294A0443"/>
    <w:rsid w:val="29830DDA"/>
    <w:rsid w:val="29A77534"/>
    <w:rsid w:val="29DF35F4"/>
    <w:rsid w:val="29E4351B"/>
    <w:rsid w:val="2A040444"/>
    <w:rsid w:val="2A1060BE"/>
    <w:rsid w:val="2A2E29E8"/>
    <w:rsid w:val="2A3721DA"/>
    <w:rsid w:val="2A453AD7"/>
    <w:rsid w:val="2A4909DA"/>
    <w:rsid w:val="2A77613D"/>
    <w:rsid w:val="2A85137A"/>
    <w:rsid w:val="2A8836CF"/>
    <w:rsid w:val="2A920BB7"/>
    <w:rsid w:val="2AE20166"/>
    <w:rsid w:val="2AE9082D"/>
    <w:rsid w:val="2AFC6C19"/>
    <w:rsid w:val="2B0F61DF"/>
    <w:rsid w:val="2B354784"/>
    <w:rsid w:val="2B373B1E"/>
    <w:rsid w:val="2B4C7C4F"/>
    <w:rsid w:val="2B4F2C16"/>
    <w:rsid w:val="2B560448"/>
    <w:rsid w:val="2B5775B5"/>
    <w:rsid w:val="2B674649"/>
    <w:rsid w:val="2B6D09CF"/>
    <w:rsid w:val="2B8925CC"/>
    <w:rsid w:val="2B9423CC"/>
    <w:rsid w:val="2B9B066E"/>
    <w:rsid w:val="2BC2163A"/>
    <w:rsid w:val="2BE829BE"/>
    <w:rsid w:val="2BFA6250"/>
    <w:rsid w:val="2C025649"/>
    <w:rsid w:val="2C0B7F80"/>
    <w:rsid w:val="2C144A8F"/>
    <w:rsid w:val="2C1A4849"/>
    <w:rsid w:val="2C271DE5"/>
    <w:rsid w:val="2C6170A5"/>
    <w:rsid w:val="2C6570F8"/>
    <w:rsid w:val="2C982C70"/>
    <w:rsid w:val="2CB6642B"/>
    <w:rsid w:val="2CC1203D"/>
    <w:rsid w:val="2CE21BC7"/>
    <w:rsid w:val="2D2F434C"/>
    <w:rsid w:val="2D68205B"/>
    <w:rsid w:val="2D9C1227"/>
    <w:rsid w:val="2D9C2373"/>
    <w:rsid w:val="2D9C2DF4"/>
    <w:rsid w:val="2DC26752"/>
    <w:rsid w:val="2DC84959"/>
    <w:rsid w:val="2E14630A"/>
    <w:rsid w:val="2E152E13"/>
    <w:rsid w:val="2E193839"/>
    <w:rsid w:val="2E352597"/>
    <w:rsid w:val="2E3669EB"/>
    <w:rsid w:val="2E433127"/>
    <w:rsid w:val="2E54274C"/>
    <w:rsid w:val="2E6111A5"/>
    <w:rsid w:val="2E7F753A"/>
    <w:rsid w:val="2E8C713C"/>
    <w:rsid w:val="2E934965"/>
    <w:rsid w:val="2E9848D4"/>
    <w:rsid w:val="2E98673C"/>
    <w:rsid w:val="2EC92CDF"/>
    <w:rsid w:val="2ECE02F6"/>
    <w:rsid w:val="2F0F189D"/>
    <w:rsid w:val="2F106B60"/>
    <w:rsid w:val="2F571748"/>
    <w:rsid w:val="2F642A08"/>
    <w:rsid w:val="2F7E3ACA"/>
    <w:rsid w:val="2F822B65"/>
    <w:rsid w:val="2F9A3C45"/>
    <w:rsid w:val="2FAD3202"/>
    <w:rsid w:val="2FE2762E"/>
    <w:rsid w:val="2FE561D9"/>
    <w:rsid w:val="3005243D"/>
    <w:rsid w:val="300E4BE1"/>
    <w:rsid w:val="302D4956"/>
    <w:rsid w:val="303D3985"/>
    <w:rsid w:val="30403475"/>
    <w:rsid w:val="304E5B92"/>
    <w:rsid w:val="30775D2A"/>
    <w:rsid w:val="30B6492C"/>
    <w:rsid w:val="30BD7325"/>
    <w:rsid w:val="30E007BF"/>
    <w:rsid w:val="30ED7BE8"/>
    <w:rsid w:val="30F4704B"/>
    <w:rsid w:val="31180F4A"/>
    <w:rsid w:val="31265F2E"/>
    <w:rsid w:val="31485C14"/>
    <w:rsid w:val="3163741B"/>
    <w:rsid w:val="318F2519"/>
    <w:rsid w:val="31906224"/>
    <w:rsid w:val="31A57EB3"/>
    <w:rsid w:val="31AF009B"/>
    <w:rsid w:val="31CA482C"/>
    <w:rsid w:val="31CA56EC"/>
    <w:rsid w:val="31CF1250"/>
    <w:rsid w:val="31D8363B"/>
    <w:rsid w:val="31F369F1"/>
    <w:rsid w:val="323C16F6"/>
    <w:rsid w:val="325F744C"/>
    <w:rsid w:val="328162F5"/>
    <w:rsid w:val="329655CE"/>
    <w:rsid w:val="32A20A07"/>
    <w:rsid w:val="32C2489A"/>
    <w:rsid w:val="32C37FC6"/>
    <w:rsid w:val="33150BE9"/>
    <w:rsid w:val="33355885"/>
    <w:rsid w:val="333E608D"/>
    <w:rsid w:val="334119DE"/>
    <w:rsid w:val="334E6A0D"/>
    <w:rsid w:val="334E7ADA"/>
    <w:rsid w:val="335334BF"/>
    <w:rsid w:val="337B4587"/>
    <w:rsid w:val="33BA52ED"/>
    <w:rsid w:val="33E365F1"/>
    <w:rsid w:val="341B5D04"/>
    <w:rsid w:val="342161E5"/>
    <w:rsid w:val="345E036E"/>
    <w:rsid w:val="346608E2"/>
    <w:rsid w:val="34694423"/>
    <w:rsid w:val="34740FEC"/>
    <w:rsid w:val="347B7968"/>
    <w:rsid w:val="34A23F82"/>
    <w:rsid w:val="34AB30EB"/>
    <w:rsid w:val="34BA0CE4"/>
    <w:rsid w:val="34BC11C7"/>
    <w:rsid w:val="34C5751D"/>
    <w:rsid w:val="34F860CC"/>
    <w:rsid w:val="35030DB0"/>
    <w:rsid w:val="352C5D76"/>
    <w:rsid w:val="35394E0F"/>
    <w:rsid w:val="358E3C86"/>
    <w:rsid w:val="35BC44CC"/>
    <w:rsid w:val="35C45AFF"/>
    <w:rsid w:val="360D07CC"/>
    <w:rsid w:val="361964CC"/>
    <w:rsid w:val="362D1DA6"/>
    <w:rsid w:val="36897924"/>
    <w:rsid w:val="36AC6851"/>
    <w:rsid w:val="36F56BD3"/>
    <w:rsid w:val="37014E06"/>
    <w:rsid w:val="37335AE2"/>
    <w:rsid w:val="373C6B79"/>
    <w:rsid w:val="375241BA"/>
    <w:rsid w:val="3768578B"/>
    <w:rsid w:val="376B717A"/>
    <w:rsid w:val="377C3640"/>
    <w:rsid w:val="37893954"/>
    <w:rsid w:val="37CC4F7D"/>
    <w:rsid w:val="380B25BB"/>
    <w:rsid w:val="38126C3B"/>
    <w:rsid w:val="381C6576"/>
    <w:rsid w:val="3823205F"/>
    <w:rsid w:val="382E6D2A"/>
    <w:rsid w:val="38304EFE"/>
    <w:rsid w:val="38332D9F"/>
    <w:rsid w:val="384911B9"/>
    <w:rsid w:val="384F06F9"/>
    <w:rsid w:val="385F4AA8"/>
    <w:rsid w:val="38675A43"/>
    <w:rsid w:val="38B115E1"/>
    <w:rsid w:val="38B66633"/>
    <w:rsid w:val="38C22C79"/>
    <w:rsid w:val="38C51322"/>
    <w:rsid w:val="38C5276A"/>
    <w:rsid w:val="38D95DED"/>
    <w:rsid w:val="38F40CD1"/>
    <w:rsid w:val="38FC37C7"/>
    <w:rsid w:val="39096AFA"/>
    <w:rsid w:val="39171286"/>
    <w:rsid w:val="39355B41"/>
    <w:rsid w:val="393F538F"/>
    <w:rsid w:val="39567866"/>
    <w:rsid w:val="395F21ED"/>
    <w:rsid w:val="3963759E"/>
    <w:rsid w:val="398268AC"/>
    <w:rsid w:val="398D62E7"/>
    <w:rsid w:val="39960036"/>
    <w:rsid w:val="39AA35E8"/>
    <w:rsid w:val="39BE6A32"/>
    <w:rsid w:val="39D53F3D"/>
    <w:rsid w:val="39EC0724"/>
    <w:rsid w:val="39EE5FF7"/>
    <w:rsid w:val="39F220E1"/>
    <w:rsid w:val="3A0E458F"/>
    <w:rsid w:val="3A175247"/>
    <w:rsid w:val="3A1B150C"/>
    <w:rsid w:val="3A1D15F0"/>
    <w:rsid w:val="3A300BC4"/>
    <w:rsid w:val="3A325A91"/>
    <w:rsid w:val="3A3C68EB"/>
    <w:rsid w:val="3A5C6477"/>
    <w:rsid w:val="3A647FDB"/>
    <w:rsid w:val="3AC41A5B"/>
    <w:rsid w:val="3AFF3AFB"/>
    <w:rsid w:val="3B3E3142"/>
    <w:rsid w:val="3B5C6ECC"/>
    <w:rsid w:val="3B77477D"/>
    <w:rsid w:val="3B89290D"/>
    <w:rsid w:val="3B9A0687"/>
    <w:rsid w:val="3BEB1080"/>
    <w:rsid w:val="3BF70E8C"/>
    <w:rsid w:val="3C0948D6"/>
    <w:rsid w:val="3C0A6FBB"/>
    <w:rsid w:val="3C0F06A5"/>
    <w:rsid w:val="3C4D4F05"/>
    <w:rsid w:val="3C874651"/>
    <w:rsid w:val="3CAC1F76"/>
    <w:rsid w:val="3CC37566"/>
    <w:rsid w:val="3CD2018D"/>
    <w:rsid w:val="3CD4615E"/>
    <w:rsid w:val="3CF01E75"/>
    <w:rsid w:val="3CF17FD1"/>
    <w:rsid w:val="3D2C4D1B"/>
    <w:rsid w:val="3D3863FE"/>
    <w:rsid w:val="3D3C6DD7"/>
    <w:rsid w:val="3D6427C9"/>
    <w:rsid w:val="3D792146"/>
    <w:rsid w:val="3D872D53"/>
    <w:rsid w:val="3DAA587A"/>
    <w:rsid w:val="3DF61FBE"/>
    <w:rsid w:val="3E0E6961"/>
    <w:rsid w:val="3E12573C"/>
    <w:rsid w:val="3E2706F4"/>
    <w:rsid w:val="3E3068D7"/>
    <w:rsid w:val="3E3A0F51"/>
    <w:rsid w:val="3E3B00AB"/>
    <w:rsid w:val="3E4D56DB"/>
    <w:rsid w:val="3E5D2C3B"/>
    <w:rsid w:val="3E892C82"/>
    <w:rsid w:val="3E990920"/>
    <w:rsid w:val="3EE66619"/>
    <w:rsid w:val="3F05665B"/>
    <w:rsid w:val="3F514D57"/>
    <w:rsid w:val="3F676A6B"/>
    <w:rsid w:val="3F732F1F"/>
    <w:rsid w:val="3F8B28F9"/>
    <w:rsid w:val="3F934807"/>
    <w:rsid w:val="3FBA501D"/>
    <w:rsid w:val="3FC0679C"/>
    <w:rsid w:val="3FCC1898"/>
    <w:rsid w:val="3FD27702"/>
    <w:rsid w:val="3FEB5A56"/>
    <w:rsid w:val="3FED6591"/>
    <w:rsid w:val="3FF51B86"/>
    <w:rsid w:val="40112D81"/>
    <w:rsid w:val="401979A4"/>
    <w:rsid w:val="4031174B"/>
    <w:rsid w:val="40387A59"/>
    <w:rsid w:val="405D35BE"/>
    <w:rsid w:val="40732622"/>
    <w:rsid w:val="40784565"/>
    <w:rsid w:val="407C0701"/>
    <w:rsid w:val="408F29C2"/>
    <w:rsid w:val="40A321DF"/>
    <w:rsid w:val="40AA3B44"/>
    <w:rsid w:val="40BF2194"/>
    <w:rsid w:val="40F44D28"/>
    <w:rsid w:val="41032E8B"/>
    <w:rsid w:val="411443E9"/>
    <w:rsid w:val="411E335F"/>
    <w:rsid w:val="41250249"/>
    <w:rsid w:val="412673C6"/>
    <w:rsid w:val="414D4D91"/>
    <w:rsid w:val="415D5C35"/>
    <w:rsid w:val="41605725"/>
    <w:rsid w:val="416D4751"/>
    <w:rsid w:val="417D14A5"/>
    <w:rsid w:val="418B7AAF"/>
    <w:rsid w:val="418E1EDC"/>
    <w:rsid w:val="41A35612"/>
    <w:rsid w:val="41AB3436"/>
    <w:rsid w:val="41AC652F"/>
    <w:rsid w:val="41E41EB2"/>
    <w:rsid w:val="41E561D0"/>
    <w:rsid w:val="42083157"/>
    <w:rsid w:val="42246753"/>
    <w:rsid w:val="42324514"/>
    <w:rsid w:val="42404A83"/>
    <w:rsid w:val="4244508F"/>
    <w:rsid w:val="42525A45"/>
    <w:rsid w:val="426E79CE"/>
    <w:rsid w:val="42C71633"/>
    <w:rsid w:val="430B67D3"/>
    <w:rsid w:val="432A08FD"/>
    <w:rsid w:val="436B35E0"/>
    <w:rsid w:val="43702C48"/>
    <w:rsid w:val="439345ED"/>
    <w:rsid w:val="43AB3123"/>
    <w:rsid w:val="43DB7331"/>
    <w:rsid w:val="442D1DB7"/>
    <w:rsid w:val="4436276D"/>
    <w:rsid w:val="44390DD3"/>
    <w:rsid w:val="443A6523"/>
    <w:rsid w:val="443D1D4E"/>
    <w:rsid w:val="4447571D"/>
    <w:rsid w:val="444D7455"/>
    <w:rsid w:val="44684B0C"/>
    <w:rsid w:val="44DB3E71"/>
    <w:rsid w:val="44E96984"/>
    <w:rsid w:val="4511788A"/>
    <w:rsid w:val="45264590"/>
    <w:rsid w:val="4541761C"/>
    <w:rsid w:val="4545710C"/>
    <w:rsid w:val="457A26C5"/>
    <w:rsid w:val="45813EBC"/>
    <w:rsid w:val="4584362A"/>
    <w:rsid w:val="459E37EF"/>
    <w:rsid w:val="45CC06A8"/>
    <w:rsid w:val="45D279DA"/>
    <w:rsid w:val="45D8717F"/>
    <w:rsid w:val="45DF3FF2"/>
    <w:rsid w:val="45E064FC"/>
    <w:rsid w:val="45F262C9"/>
    <w:rsid w:val="46001E1A"/>
    <w:rsid w:val="460A3EB2"/>
    <w:rsid w:val="460D403D"/>
    <w:rsid w:val="464B69A4"/>
    <w:rsid w:val="46636872"/>
    <w:rsid w:val="46745E69"/>
    <w:rsid w:val="46794B93"/>
    <w:rsid w:val="469C5792"/>
    <w:rsid w:val="46D865BE"/>
    <w:rsid w:val="46F514EF"/>
    <w:rsid w:val="472B5BE0"/>
    <w:rsid w:val="473C77F5"/>
    <w:rsid w:val="47437C65"/>
    <w:rsid w:val="47476499"/>
    <w:rsid w:val="476E2F5A"/>
    <w:rsid w:val="47700A9C"/>
    <w:rsid w:val="477F524F"/>
    <w:rsid w:val="47C85DD2"/>
    <w:rsid w:val="47DD49C4"/>
    <w:rsid w:val="47F03649"/>
    <w:rsid w:val="48010D5B"/>
    <w:rsid w:val="48197B0F"/>
    <w:rsid w:val="483C3E0E"/>
    <w:rsid w:val="48425B85"/>
    <w:rsid w:val="48515DC8"/>
    <w:rsid w:val="485451B5"/>
    <w:rsid w:val="48677399"/>
    <w:rsid w:val="486D1B6E"/>
    <w:rsid w:val="486F44A0"/>
    <w:rsid w:val="48840E70"/>
    <w:rsid w:val="489B30F2"/>
    <w:rsid w:val="489D08BE"/>
    <w:rsid w:val="48AA1793"/>
    <w:rsid w:val="48CD4826"/>
    <w:rsid w:val="48D34333"/>
    <w:rsid w:val="48F47B03"/>
    <w:rsid w:val="490C0701"/>
    <w:rsid w:val="491B09E5"/>
    <w:rsid w:val="491D0EFE"/>
    <w:rsid w:val="49213891"/>
    <w:rsid w:val="49513C5A"/>
    <w:rsid w:val="496F0BFB"/>
    <w:rsid w:val="49731D6E"/>
    <w:rsid w:val="49821A4B"/>
    <w:rsid w:val="49887D00"/>
    <w:rsid w:val="49982E4E"/>
    <w:rsid w:val="49E525FB"/>
    <w:rsid w:val="49F60433"/>
    <w:rsid w:val="4A025A8F"/>
    <w:rsid w:val="4A0C7AE5"/>
    <w:rsid w:val="4A126186"/>
    <w:rsid w:val="4A2A6BC7"/>
    <w:rsid w:val="4A6169B1"/>
    <w:rsid w:val="4A831AD6"/>
    <w:rsid w:val="4A856DB0"/>
    <w:rsid w:val="4ABA6396"/>
    <w:rsid w:val="4AC05FC1"/>
    <w:rsid w:val="4AE41C75"/>
    <w:rsid w:val="4AF52B12"/>
    <w:rsid w:val="4AFA1158"/>
    <w:rsid w:val="4B3C4B0D"/>
    <w:rsid w:val="4B6123AA"/>
    <w:rsid w:val="4B6A33BE"/>
    <w:rsid w:val="4B7C4E05"/>
    <w:rsid w:val="4BA25AB2"/>
    <w:rsid w:val="4BB55F1D"/>
    <w:rsid w:val="4BBE4626"/>
    <w:rsid w:val="4BF21670"/>
    <w:rsid w:val="4BFC4444"/>
    <w:rsid w:val="4BFC55DF"/>
    <w:rsid w:val="4C1A249D"/>
    <w:rsid w:val="4C3D4DF1"/>
    <w:rsid w:val="4C3F76BC"/>
    <w:rsid w:val="4C450CD7"/>
    <w:rsid w:val="4C5E09D7"/>
    <w:rsid w:val="4C7B11DD"/>
    <w:rsid w:val="4CB608EF"/>
    <w:rsid w:val="4CC85590"/>
    <w:rsid w:val="4D1675E0"/>
    <w:rsid w:val="4D4A2E83"/>
    <w:rsid w:val="4D506236"/>
    <w:rsid w:val="4D840B49"/>
    <w:rsid w:val="4DB12E65"/>
    <w:rsid w:val="4DBA603E"/>
    <w:rsid w:val="4DC62DB4"/>
    <w:rsid w:val="4DDB7CE0"/>
    <w:rsid w:val="4E0603DE"/>
    <w:rsid w:val="4E1D1600"/>
    <w:rsid w:val="4E1F1C57"/>
    <w:rsid w:val="4E4E14CF"/>
    <w:rsid w:val="4E794555"/>
    <w:rsid w:val="4EB40E5E"/>
    <w:rsid w:val="4EBB3699"/>
    <w:rsid w:val="4ED6147A"/>
    <w:rsid w:val="4EFD0A57"/>
    <w:rsid w:val="4F074E86"/>
    <w:rsid w:val="4F145CDB"/>
    <w:rsid w:val="4F1D299D"/>
    <w:rsid w:val="4F8D5DDA"/>
    <w:rsid w:val="4F8E7C0F"/>
    <w:rsid w:val="4FA1172D"/>
    <w:rsid w:val="4FA90361"/>
    <w:rsid w:val="4FA91FC4"/>
    <w:rsid w:val="4FC96B8B"/>
    <w:rsid w:val="4FCD55B8"/>
    <w:rsid w:val="4FDE694E"/>
    <w:rsid w:val="4FF534DD"/>
    <w:rsid w:val="50323669"/>
    <w:rsid w:val="50355264"/>
    <w:rsid w:val="50447FC0"/>
    <w:rsid w:val="504F0E3F"/>
    <w:rsid w:val="50994306"/>
    <w:rsid w:val="50D91050"/>
    <w:rsid w:val="50E24931"/>
    <w:rsid w:val="50EE7F1B"/>
    <w:rsid w:val="51326A91"/>
    <w:rsid w:val="513F4FF8"/>
    <w:rsid w:val="51856AE2"/>
    <w:rsid w:val="51A809DE"/>
    <w:rsid w:val="51D33759"/>
    <w:rsid w:val="51DA282C"/>
    <w:rsid w:val="521265C8"/>
    <w:rsid w:val="5221626F"/>
    <w:rsid w:val="523456FB"/>
    <w:rsid w:val="523C53F3"/>
    <w:rsid w:val="52464903"/>
    <w:rsid w:val="526945D9"/>
    <w:rsid w:val="52903564"/>
    <w:rsid w:val="52923B49"/>
    <w:rsid w:val="52A26A7A"/>
    <w:rsid w:val="52A949A8"/>
    <w:rsid w:val="52B61649"/>
    <w:rsid w:val="52C64522"/>
    <w:rsid w:val="52D2641C"/>
    <w:rsid w:val="52D755E3"/>
    <w:rsid w:val="52F741C4"/>
    <w:rsid w:val="532B5F9C"/>
    <w:rsid w:val="532F7559"/>
    <w:rsid w:val="533373DE"/>
    <w:rsid w:val="5343196D"/>
    <w:rsid w:val="536D4D63"/>
    <w:rsid w:val="537A6A25"/>
    <w:rsid w:val="53874D93"/>
    <w:rsid w:val="539F4E3D"/>
    <w:rsid w:val="539F6F42"/>
    <w:rsid w:val="53C76654"/>
    <w:rsid w:val="53CC14BA"/>
    <w:rsid w:val="53D53D51"/>
    <w:rsid w:val="53DD0949"/>
    <w:rsid w:val="53E2646E"/>
    <w:rsid w:val="53EF758A"/>
    <w:rsid w:val="53F65A75"/>
    <w:rsid w:val="53FA30E5"/>
    <w:rsid w:val="53FA763C"/>
    <w:rsid w:val="53FE2128"/>
    <w:rsid w:val="542C654C"/>
    <w:rsid w:val="545F12E0"/>
    <w:rsid w:val="545F45C4"/>
    <w:rsid w:val="5464234C"/>
    <w:rsid w:val="5467032C"/>
    <w:rsid w:val="5479292E"/>
    <w:rsid w:val="5485215D"/>
    <w:rsid w:val="54885FC1"/>
    <w:rsid w:val="549052C1"/>
    <w:rsid w:val="549B6ECE"/>
    <w:rsid w:val="549C064C"/>
    <w:rsid w:val="54B716A8"/>
    <w:rsid w:val="54C13B16"/>
    <w:rsid w:val="54D03248"/>
    <w:rsid w:val="54D2532A"/>
    <w:rsid w:val="54E50E53"/>
    <w:rsid w:val="55016831"/>
    <w:rsid w:val="551075F8"/>
    <w:rsid w:val="551A0D05"/>
    <w:rsid w:val="5522774A"/>
    <w:rsid w:val="5534597A"/>
    <w:rsid w:val="554F18E1"/>
    <w:rsid w:val="555200B8"/>
    <w:rsid w:val="55723E40"/>
    <w:rsid w:val="55803954"/>
    <w:rsid w:val="55805F3E"/>
    <w:rsid w:val="55AB018E"/>
    <w:rsid w:val="55BB3201"/>
    <w:rsid w:val="561C5EFA"/>
    <w:rsid w:val="564C69D2"/>
    <w:rsid w:val="564D3FF9"/>
    <w:rsid w:val="568D71B8"/>
    <w:rsid w:val="569751CC"/>
    <w:rsid w:val="56A01E05"/>
    <w:rsid w:val="56A17F1A"/>
    <w:rsid w:val="56A36118"/>
    <w:rsid w:val="56C949DD"/>
    <w:rsid w:val="570036FD"/>
    <w:rsid w:val="572F3778"/>
    <w:rsid w:val="573B0250"/>
    <w:rsid w:val="57655DBD"/>
    <w:rsid w:val="57756D58"/>
    <w:rsid w:val="57802226"/>
    <w:rsid w:val="57871A70"/>
    <w:rsid w:val="578D4C09"/>
    <w:rsid w:val="579F1EDB"/>
    <w:rsid w:val="57D46B6E"/>
    <w:rsid w:val="57E353CC"/>
    <w:rsid w:val="57EE3633"/>
    <w:rsid w:val="581B1F4E"/>
    <w:rsid w:val="583138A8"/>
    <w:rsid w:val="583608FD"/>
    <w:rsid w:val="58704048"/>
    <w:rsid w:val="58810003"/>
    <w:rsid w:val="588B2C30"/>
    <w:rsid w:val="588E44CE"/>
    <w:rsid w:val="58931C9E"/>
    <w:rsid w:val="58A23218"/>
    <w:rsid w:val="58AB32D2"/>
    <w:rsid w:val="58BA73F7"/>
    <w:rsid w:val="58C15601"/>
    <w:rsid w:val="58C80F8B"/>
    <w:rsid w:val="59050C34"/>
    <w:rsid w:val="593233E1"/>
    <w:rsid w:val="593908DE"/>
    <w:rsid w:val="59556B96"/>
    <w:rsid w:val="596040BD"/>
    <w:rsid w:val="59660CC5"/>
    <w:rsid w:val="59D61562"/>
    <w:rsid w:val="59DC02BA"/>
    <w:rsid w:val="59F91CBE"/>
    <w:rsid w:val="5A1661E0"/>
    <w:rsid w:val="5A2B0034"/>
    <w:rsid w:val="5A43437E"/>
    <w:rsid w:val="5A886D44"/>
    <w:rsid w:val="5A932218"/>
    <w:rsid w:val="5A985A6F"/>
    <w:rsid w:val="5A9A29A2"/>
    <w:rsid w:val="5AA61FA3"/>
    <w:rsid w:val="5AAA5AEA"/>
    <w:rsid w:val="5AB11060"/>
    <w:rsid w:val="5AB53469"/>
    <w:rsid w:val="5AB75C0D"/>
    <w:rsid w:val="5AF30F60"/>
    <w:rsid w:val="5B070568"/>
    <w:rsid w:val="5B11579C"/>
    <w:rsid w:val="5B2B24A8"/>
    <w:rsid w:val="5B3232F4"/>
    <w:rsid w:val="5B595BA3"/>
    <w:rsid w:val="5B6F6CC4"/>
    <w:rsid w:val="5B7457C6"/>
    <w:rsid w:val="5B8E36FB"/>
    <w:rsid w:val="5B972ABE"/>
    <w:rsid w:val="5BB93F58"/>
    <w:rsid w:val="5BC05D9C"/>
    <w:rsid w:val="5C2F5304"/>
    <w:rsid w:val="5C4224B9"/>
    <w:rsid w:val="5C4D51B8"/>
    <w:rsid w:val="5C693288"/>
    <w:rsid w:val="5C7570F5"/>
    <w:rsid w:val="5C88468C"/>
    <w:rsid w:val="5C8E0F41"/>
    <w:rsid w:val="5C95407D"/>
    <w:rsid w:val="5CA70254"/>
    <w:rsid w:val="5CA73D88"/>
    <w:rsid w:val="5CFA5507"/>
    <w:rsid w:val="5D1E0517"/>
    <w:rsid w:val="5D390FA8"/>
    <w:rsid w:val="5D6674D1"/>
    <w:rsid w:val="5D8A38AF"/>
    <w:rsid w:val="5D916205"/>
    <w:rsid w:val="5DE320C9"/>
    <w:rsid w:val="5DEE502B"/>
    <w:rsid w:val="5E342781"/>
    <w:rsid w:val="5E3B3932"/>
    <w:rsid w:val="5E6D3367"/>
    <w:rsid w:val="5E6D5534"/>
    <w:rsid w:val="5EB50A07"/>
    <w:rsid w:val="5ED15115"/>
    <w:rsid w:val="5F0E2720"/>
    <w:rsid w:val="5F3E6C4E"/>
    <w:rsid w:val="5F443B39"/>
    <w:rsid w:val="5F506981"/>
    <w:rsid w:val="5F52218F"/>
    <w:rsid w:val="5F526B10"/>
    <w:rsid w:val="5F675D50"/>
    <w:rsid w:val="5F6D1C5C"/>
    <w:rsid w:val="5F9E7F77"/>
    <w:rsid w:val="5FA32F55"/>
    <w:rsid w:val="5FA42656"/>
    <w:rsid w:val="5FB4306F"/>
    <w:rsid w:val="5FC6687A"/>
    <w:rsid w:val="5FD829C8"/>
    <w:rsid w:val="5FEF1CF6"/>
    <w:rsid w:val="5FF30B07"/>
    <w:rsid w:val="60015C87"/>
    <w:rsid w:val="60050CBE"/>
    <w:rsid w:val="600943FE"/>
    <w:rsid w:val="600F3ECB"/>
    <w:rsid w:val="6032063D"/>
    <w:rsid w:val="606D0DDF"/>
    <w:rsid w:val="607B7BE9"/>
    <w:rsid w:val="609048BB"/>
    <w:rsid w:val="6099211A"/>
    <w:rsid w:val="60A554DE"/>
    <w:rsid w:val="60AF592A"/>
    <w:rsid w:val="60AF76D8"/>
    <w:rsid w:val="60C06CED"/>
    <w:rsid w:val="60C76FDA"/>
    <w:rsid w:val="60CD0E9A"/>
    <w:rsid w:val="60DA4576"/>
    <w:rsid w:val="60DB671F"/>
    <w:rsid w:val="61072AFB"/>
    <w:rsid w:val="6118527D"/>
    <w:rsid w:val="613A180D"/>
    <w:rsid w:val="613C71BD"/>
    <w:rsid w:val="61454BBF"/>
    <w:rsid w:val="616265EC"/>
    <w:rsid w:val="6172589D"/>
    <w:rsid w:val="61A86369"/>
    <w:rsid w:val="61FF6366"/>
    <w:rsid w:val="62032467"/>
    <w:rsid w:val="620857AF"/>
    <w:rsid w:val="62156E4C"/>
    <w:rsid w:val="62397C49"/>
    <w:rsid w:val="625247BE"/>
    <w:rsid w:val="62573CC6"/>
    <w:rsid w:val="626C5A46"/>
    <w:rsid w:val="62760B82"/>
    <w:rsid w:val="628F6840"/>
    <w:rsid w:val="62B31C86"/>
    <w:rsid w:val="62C76F5B"/>
    <w:rsid w:val="62EF5116"/>
    <w:rsid w:val="62FD6909"/>
    <w:rsid w:val="6330261C"/>
    <w:rsid w:val="63376A14"/>
    <w:rsid w:val="63381C06"/>
    <w:rsid w:val="63403E71"/>
    <w:rsid w:val="63426A3F"/>
    <w:rsid w:val="639879DD"/>
    <w:rsid w:val="63CF06D8"/>
    <w:rsid w:val="63DC1FEB"/>
    <w:rsid w:val="63E47698"/>
    <w:rsid w:val="63E56A19"/>
    <w:rsid w:val="63EB2212"/>
    <w:rsid w:val="6410048D"/>
    <w:rsid w:val="6411283E"/>
    <w:rsid w:val="64193967"/>
    <w:rsid w:val="64267CB1"/>
    <w:rsid w:val="64440CBE"/>
    <w:rsid w:val="644F2E30"/>
    <w:rsid w:val="646F4D69"/>
    <w:rsid w:val="64A32268"/>
    <w:rsid w:val="64BD37D7"/>
    <w:rsid w:val="64C8090E"/>
    <w:rsid w:val="64CA2D32"/>
    <w:rsid w:val="64D6001B"/>
    <w:rsid w:val="65022DCC"/>
    <w:rsid w:val="65336B29"/>
    <w:rsid w:val="653A7EB8"/>
    <w:rsid w:val="656A6B2A"/>
    <w:rsid w:val="656C43A8"/>
    <w:rsid w:val="658A0A53"/>
    <w:rsid w:val="6595155A"/>
    <w:rsid w:val="65A545CA"/>
    <w:rsid w:val="65AB4911"/>
    <w:rsid w:val="65C63BE2"/>
    <w:rsid w:val="65CB77D4"/>
    <w:rsid w:val="65ED7690"/>
    <w:rsid w:val="65F2034F"/>
    <w:rsid w:val="65FF4E94"/>
    <w:rsid w:val="661D5960"/>
    <w:rsid w:val="66225BE3"/>
    <w:rsid w:val="662B0D66"/>
    <w:rsid w:val="662D5327"/>
    <w:rsid w:val="663E0E95"/>
    <w:rsid w:val="664B7DA4"/>
    <w:rsid w:val="66714354"/>
    <w:rsid w:val="667C04B6"/>
    <w:rsid w:val="668163E5"/>
    <w:rsid w:val="66914EA0"/>
    <w:rsid w:val="669C6856"/>
    <w:rsid w:val="669F502B"/>
    <w:rsid w:val="66A32EF4"/>
    <w:rsid w:val="66B84E0B"/>
    <w:rsid w:val="66CF39D2"/>
    <w:rsid w:val="66D36F26"/>
    <w:rsid w:val="66FA2C10"/>
    <w:rsid w:val="67095D94"/>
    <w:rsid w:val="670E4261"/>
    <w:rsid w:val="671B1623"/>
    <w:rsid w:val="671F136A"/>
    <w:rsid w:val="677241DF"/>
    <w:rsid w:val="677B1187"/>
    <w:rsid w:val="67964C53"/>
    <w:rsid w:val="679F4623"/>
    <w:rsid w:val="67C32994"/>
    <w:rsid w:val="67C32D1F"/>
    <w:rsid w:val="67F906C1"/>
    <w:rsid w:val="68142BA7"/>
    <w:rsid w:val="68216F20"/>
    <w:rsid w:val="682448CE"/>
    <w:rsid w:val="683706DE"/>
    <w:rsid w:val="68981C90"/>
    <w:rsid w:val="68DC7DBF"/>
    <w:rsid w:val="69174CB7"/>
    <w:rsid w:val="692657A8"/>
    <w:rsid w:val="69272AA8"/>
    <w:rsid w:val="69396005"/>
    <w:rsid w:val="697355A5"/>
    <w:rsid w:val="697C398A"/>
    <w:rsid w:val="69806DA3"/>
    <w:rsid w:val="69A022B3"/>
    <w:rsid w:val="69A37857"/>
    <w:rsid w:val="69AA16F8"/>
    <w:rsid w:val="69B66CF5"/>
    <w:rsid w:val="69BF098B"/>
    <w:rsid w:val="69C94024"/>
    <w:rsid w:val="69DA0883"/>
    <w:rsid w:val="6A03747B"/>
    <w:rsid w:val="6A3873E2"/>
    <w:rsid w:val="6A3F1A4B"/>
    <w:rsid w:val="6A525DF7"/>
    <w:rsid w:val="6A545B2D"/>
    <w:rsid w:val="6A5541BE"/>
    <w:rsid w:val="6A584836"/>
    <w:rsid w:val="6A5D5F48"/>
    <w:rsid w:val="6A704AFB"/>
    <w:rsid w:val="6A957A0D"/>
    <w:rsid w:val="6ACC407C"/>
    <w:rsid w:val="6AEF1241"/>
    <w:rsid w:val="6AEF18D2"/>
    <w:rsid w:val="6AFE54E3"/>
    <w:rsid w:val="6B0221BD"/>
    <w:rsid w:val="6B311077"/>
    <w:rsid w:val="6B431FDB"/>
    <w:rsid w:val="6B553B42"/>
    <w:rsid w:val="6B680228"/>
    <w:rsid w:val="6BC6618F"/>
    <w:rsid w:val="6BC94903"/>
    <w:rsid w:val="6C031486"/>
    <w:rsid w:val="6C347BD2"/>
    <w:rsid w:val="6C7554D3"/>
    <w:rsid w:val="6C8E3DFB"/>
    <w:rsid w:val="6CAB51F7"/>
    <w:rsid w:val="6CC620B2"/>
    <w:rsid w:val="6CE12CDB"/>
    <w:rsid w:val="6CF714C7"/>
    <w:rsid w:val="6D0322E6"/>
    <w:rsid w:val="6D0D5EB2"/>
    <w:rsid w:val="6D3276C6"/>
    <w:rsid w:val="6D4318D3"/>
    <w:rsid w:val="6D45389E"/>
    <w:rsid w:val="6D4B0248"/>
    <w:rsid w:val="6D4D62AE"/>
    <w:rsid w:val="6D7A7F56"/>
    <w:rsid w:val="6DAE3C7B"/>
    <w:rsid w:val="6DBB0F6E"/>
    <w:rsid w:val="6DC23F1E"/>
    <w:rsid w:val="6E1F67A8"/>
    <w:rsid w:val="6E566EE9"/>
    <w:rsid w:val="6E8862C0"/>
    <w:rsid w:val="6E890D1D"/>
    <w:rsid w:val="6EA71DD4"/>
    <w:rsid w:val="6EAB79D7"/>
    <w:rsid w:val="6EC73321"/>
    <w:rsid w:val="6ED3712E"/>
    <w:rsid w:val="6EE92007"/>
    <w:rsid w:val="6EEA4EB6"/>
    <w:rsid w:val="6EFD3BD5"/>
    <w:rsid w:val="6F001695"/>
    <w:rsid w:val="6F031B05"/>
    <w:rsid w:val="6F06719A"/>
    <w:rsid w:val="6F0E785D"/>
    <w:rsid w:val="6F19796C"/>
    <w:rsid w:val="6F2B0871"/>
    <w:rsid w:val="6F455BCE"/>
    <w:rsid w:val="6F53103D"/>
    <w:rsid w:val="6F854EF7"/>
    <w:rsid w:val="6F8F7584"/>
    <w:rsid w:val="6F954117"/>
    <w:rsid w:val="6F9702EA"/>
    <w:rsid w:val="6FAC3760"/>
    <w:rsid w:val="6FC604C3"/>
    <w:rsid w:val="6FCA226C"/>
    <w:rsid w:val="6FCC3260"/>
    <w:rsid w:val="6FD31142"/>
    <w:rsid w:val="6FDD5F85"/>
    <w:rsid w:val="6FF2254D"/>
    <w:rsid w:val="6FF503BE"/>
    <w:rsid w:val="70064F45"/>
    <w:rsid w:val="700722F3"/>
    <w:rsid w:val="7022718F"/>
    <w:rsid w:val="70267BF2"/>
    <w:rsid w:val="70294DB1"/>
    <w:rsid w:val="70300183"/>
    <w:rsid w:val="705001A5"/>
    <w:rsid w:val="705A7971"/>
    <w:rsid w:val="707D6EAA"/>
    <w:rsid w:val="7083033D"/>
    <w:rsid w:val="708A0A8D"/>
    <w:rsid w:val="709134E8"/>
    <w:rsid w:val="709737B7"/>
    <w:rsid w:val="709F54C1"/>
    <w:rsid w:val="70B14B86"/>
    <w:rsid w:val="70E04F94"/>
    <w:rsid w:val="70E909E4"/>
    <w:rsid w:val="712B4001"/>
    <w:rsid w:val="71662034"/>
    <w:rsid w:val="71712D9F"/>
    <w:rsid w:val="718179D1"/>
    <w:rsid w:val="7195655B"/>
    <w:rsid w:val="719B2B6E"/>
    <w:rsid w:val="71B0505E"/>
    <w:rsid w:val="71B27028"/>
    <w:rsid w:val="71C80F4B"/>
    <w:rsid w:val="71CB5A6D"/>
    <w:rsid w:val="71DB14E2"/>
    <w:rsid w:val="71F94ECF"/>
    <w:rsid w:val="71F97EBA"/>
    <w:rsid w:val="72071122"/>
    <w:rsid w:val="720C6738"/>
    <w:rsid w:val="721675B7"/>
    <w:rsid w:val="72190A65"/>
    <w:rsid w:val="7225150C"/>
    <w:rsid w:val="722B4E79"/>
    <w:rsid w:val="724A6E5D"/>
    <w:rsid w:val="724C3086"/>
    <w:rsid w:val="72514E6D"/>
    <w:rsid w:val="72824C4C"/>
    <w:rsid w:val="72A27BDD"/>
    <w:rsid w:val="73335082"/>
    <w:rsid w:val="73424E40"/>
    <w:rsid w:val="734B0B1E"/>
    <w:rsid w:val="73590B46"/>
    <w:rsid w:val="73592A27"/>
    <w:rsid w:val="73683E42"/>
    <w:rsid w:val="73970975"/>
    <w:rsid w:val="7399049F"/>
    <w:rsid w:val="73AE6F53"/>
    <w:rsid w:val="73F47DE9"/>
    <w:rsid w:val="73F84272"/>
    <w:rsid w:val="742C2E77"/>
    <w:rsid w:val="74761DA3"/>
    <w:rsid w:val="747A5F42"/>
    <w:rsid w:val="749250CF"/>
    <w:rsid w:val="749B0AA1"/>
    <w:rsid w:val="74A842B4"/>
    <w:rsid w:val="74CC21AE"/>
    <w:rsid w:val="74F6681B"/>
    <w:rsid w:val="754367B5"/>
    <w:rsid w:val="75610166"/>
    <w:rsid w:val="757132DF"/>
    <w:rsid w:val="75783D46"/>
    <w:rsid w:val="759F79D3"/>
    <w:rsid w:val="75CB37CB"/>
    <w:rsid w:val="75CE0FC7"/>
    <w:rsid w:val="760511AE"/>
    <w:rsid w:val="76075CDC"/>
    <w:rsid w:val="76143E0D"/>
    <w:rsid w:val="76231119"/>
    <w:rsid w:val="762A0295"/>
    <w:rsid w:val="7655272C"/>
    <w:rsid w:val="765A106B"/>
    <w:rsid w:val="766916CE"/>
    <w:rsid w:val="768137CC"/>
    <w:rsid w:val="76B213A4"/>
    <w:rsid w:val="76DD6741"/>
    <w:rsid w:val="76DF74CA"/>
    <w:rsid w:val="7711429B"/>
    <w:rsid w:val="774C0E93"/>
    <w:rsid w:val="775D6476"/>
    <w:rsid w:val="779A1D15"/>
    <w:rsid w:val="779B21D1"/>
    <w:rsid w:val="77AC58F7"/>
    <w:rsid w:val="77CA50CB"/>
    <w:rsid w:val="77DD39BE"/>
    <w:rsid w:val="77DF0D12"/>
    <w:rsid w:val="77E93077"/>
    <w:rsid w:val="77F55EC0"/>
    <w:rsid w:val="780140ED"/>
    <w:rsid w:val="786F584C"/>
    <w:rsid w:val="786F6AC8"/>
    <w:rsid w:val="787A0D3F"/>
    <w:rsid w:val="7887429A"/>
    <w:rsid w:val="789E75EA"/>
    <w:rsid w:val="78A413DB"/>
    <w:rsid w:val="78C77096"/>
    <w:rsid w:val="78D005C5"/>
    <w:rsid w:val="78F80F69"/>
    <w:rsid w:val="792317F3"/>
    <w:rsid w:val="796E1A86"/>
    <w:rsid w:val="796E392F"/>
    <w:rsid w:val="79BA084C"/>
    <w:rsid w:val="79BF322E"/>
    <w:rsid w:val="79E47AB5"/>
    <w:rsid w:val="79ED32F3"/>
    <w:rsid w:val="7A087B8E"/>
    <w:rsid w:val="7A335EF2"/>
    <w:rsid w:val="7A3A039E"/>
    <w:rsid w:val="7A401097"/>
    <w:rsid w:val="7A480529"/>
    <w:rsid w:val="7A546D40"/>
    <w:rsid w:val="7A547871"/>
    <w:rsid w:val="7A6B64BF"/>
    <w:rsid w:val="7AB119C8"/>
    <w:rsid w:val="7AB756AF"/>
    <w:rsid w:val="7AE039C4"/>
    <w:rsid w:val="7B0326A2"/>
    <w:rsid w:val="7B095F0A"/>
    <w:rsid w:val="7B0A64FE"/>
    <w:rsid w:val="7B2014A6"/>
    <w:rsid w:val="7B3060D1"/>
    <w:rsid w:val="7B4D60EC"/>
    <w:rsid w:val="7B6C4AAB"/>
    <w:rsid w:val="7B8270CE"/>
    <w:rsid w:val="7BA76E1A"/>
    <w:rsid w:val="7BAA73C4"/>
    <w:rsid w:val="7BB50303"/>
    <w:rsid w:val="7BC676E2"/>
    <w:rsid w:val="7BCD4C1E"/>
    <w:rsid w:val="7BDD1E08"/>
    <w:rsid w:val="7BE12A1B"/>
    <w:rsid w:val="7BFF7605"/>
    <w:rsid w:val="7C030A91"/>
    <w:rsid w:val="7C0801BE"/>
    <w:rsid w:val="7C14260A"/>
    <w:rsid w:val="7C4E5A56"/>
    <w:rsid w:val="7C575349"/>
    <w:rsid w:val="7C592168"/>
    <w:rsid w:val="7C7563E7"/>
    <w:rsid w:val="7C773348"/>
    <w:rsid w:val="7C7E7E9F"/>
    <w:rsid w:val="7C8754EC"/>
    <w:rsid w:val="7CAE7EDC"/>
    <w:rsid w:val="7CC46F64"/>
    <w:rsid w:val="7CD27C4A"/>
    <w:rsid w:val="7CDB21E3"/>
    <w:rsid w:val="7CE5263C"/>
    <w:rsid w:val="7CE86E87"/>
    <w:rsid w:val="7D07647A"/>
    <w:rsid w:val="7D0B2FC2"/>
    <w:rsid w:val="7D553689"/>
    <w:rsid w:val="7D6C2BC9"/>
    <w:rsid w:val="7D8A2545"/>
    <w:rsid w:val="7DAA78C1"/>
    <w:rsid w:val="7DBA0FD3"/>
    <w:rsid w:val="7DBF4E32"/>
    <w:rsid w:val="7DC202A5"/>
    <w:rsid w:val="7DCC321F"/>
    <w:rsid w:val="7DDB7213"/>
    <w:rsid w:val="7DE41074"/>
    <w:rsid w:val="7E255415"/>
    <w:rsid w:val="7E7E10FB"/>
    <w:rsid w:val="7E953F59"/>
    <w:rsid w:val="7EAF0B77"/>
    <w:rsid w:val="7EB604BF"/>
    <w:rsid w:val="7ED35AFC"/>
    <w:rsid w:val="7EF45164"/>
    <w:rsid w:val="7EFC6135"/>
    <w:rsid w:val="7F17463A"/>
    <w:rsid w:val="7F3A679D"/>
    <w:rsid w:val="7F4E570E"/>
    <w:rsid w:val="7F5931D8"/>
    <w:rsid w:val="7F9272C1"/>
    <w:rsid w:val="7F994556"/>
    <w:rsid w:val="7FAC1105"/>
    <w:rsid w:val="7FD62C2F"/>
    <w:rsid w:val="7FE25603"/>
    <w:rsid w:val="7FF90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z w:val="32"/>
      <w:szCs w:val="22"/>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unhideWhenUsed/>
    <w:qFormat/>
    <w:uiPriority w:val="0"/>
    <w:pPr>
      <w:keepNext/>
      <w:tabs>
        <w:tab w:val="left" w:pos="3738"/>
      </w:tabs>
      <w:jc w:val="center"/>
      <w:outlineLvl w:val="1"/>
    </w:pPr>
    <w:rPr>
      <w:rFonts w:ascii="宋体" w:hAnsi="宋体" w:eastAsia="宋体"/>
      <w:b/>
      <w:sz w:val="30"/>
    </w:rPr>
  </w:style>
  <w:style w:type="paragraph" w:styleId="5">
    <w:name w:val="heading 3"/>
    <w:basedOn w:val="1"/>
    <w:next w:val="1"/>
    <w:link w:val="72"/>
    <w:qFormat/>
    <w:uiPriority w:val="0"/>
    <w:pPr>
      <w:keepNext/>
      <w:widowControl/>
      <w:jc w:val="left"/>
      <w:outlineLvl w:val="2"/>
    </w:pPr>
    <w:rPr>
      <w:rFonts w:ascii="Arial" w:hAnsi="Arial" w:eastAsia="华文宋体"/>
      <w:b/>
      <w:sz w:val="26"/>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unhideWhenUsed/>
    <w:qFormat/>
    <w:uiPriority w:val="0"/>
    <w:pPr>
      <w:spacing w:after="120"/>
    </w:pPr>
  </w:style>
  <w:style w:type="paragraph" w:styleId="7">
    <w:name w:val="Normal Indent"/>
    <w:basedOn w:val="1"/>
    <w:qFormat/>
    <w:uiPriority w:val="0"/>
    <w:pPr>
      <w:ind w:firstLine="420" w:firstLineChars="200"/>
    </w:pPr>
    <w:rPr>
      <w:szCs w:val="24"/>
    </w:rPr>
  </w:style>
  <w:style w:type="paragraph" w:styleId="8">
    <w:name w:val="Document Map"/>
    <w:basedOn w:val="1"/>
    <w:unhideWhenUsed/>
    <w:qFormat/>
    <w:uiPriority w:val="0"/>
    <w:rPr>
      <w:rFonts w:ascii="宋体" w:cs="黑体"/>
      <w:sz w:val="18"/>
      <w:szCs w:val="18"/>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link w:val="75"/>
    <w:qFormat/>
    <w:uiPriority w:val="0"/>
    <w:pPr>
      <w:jc w:val="left"/>
    </w:pPr>
  </w:style>
  <w:style w:type="paragraph" w:styleId="11">
    <w:name w:val="Body Text Indent"/>
    <w:basedOn w:val="1"/>
    <w:next w:val="12"/>
    <w:link w:val="82"/>
    <w:unhideWhenUsed/>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toc 3"/>
    <w:basedOn w:val="1"/>
    <w:next w:val="1"/>
    <w:qFormat/>
    <w:uiPriority w:val="0"/>
    <w:pPr>
      <w:ind w:left="840" w:leftChars="400"/>
    </w:pPr>
  </w:style>
  <w:style w:type="paragraph" w:styleId="14">
    <w:name w:val="Plain Text"/>
    <w:basedOn w:val="1"/>
    <w:link w:val="76"/>
    <w:qFormat/>
    <w:uiPriority w:val="0"/>
    <w:rPr>
      <w:rFonts w:ascii="宋体" w:hAnsi="宋体" w:eastAsia="宋体" w:cs="Courier New"/>
      <w:kern w:val="1"/>
      <w:sz w:val="21"/>
      <w:szCs w:val="21"/>
    </w:rPr>
  </w:style>
  <w:style w:type="paragraph" w:styleId="15">
    <w:name w:val="Body Text Indent 2"/>
    <w:basedOn w:val="1"/>
    <w:link w:val="71"/>
    <w:qFormat/>
    <w:uiPriority w:val="0"/>
    <w:pPr>
      <w:spacing w:line="360" w:lineRule="auto"/>
      <w:ind w:firstLine="420"/>
    </w:pPr>
    <w:rPr>
      <w:sz w:val="24"/>
      <w:szCs w:val="24"/>
    </w:rPr>
  </w:style>
  <w:style w:type="paragraph" w:styleId="16">
    <w:name w:val="Balloon Text"/>
    <w:basedOn w:val="1"/>
    <w:link w:val="83"/>
    <w:qFormat/>
    <w:uiPriority w:val="0"/>
    <w:rPr>
      <w:sz w:val="18"/>
      <w:szCs w:val="18"/>
    </w:rPr>
  </w:style>
  <w:style w:type="paragraph" w:styleId="17">
    <w:name w:val="footer"/>
    <w:basedOn w:val="1"/>
    <w:link w:val="67"/>
    <w:qFormat/>
    <w:uiPriority w:val="0"/>
    <w:pPr>
      <w:tabs>
        <w:tab w:val="center" w:pos="4153"/>
        <w:tab w:val="right" w:pos="8306"/>
      </w:tabs>
      <w:snapToGrid w:val="0"/>
      <w:jc w:val="left"/>
    </w:pPr>
    <w:rPr>
      <w:sz w:val="18"/>
    </w:rPr>
  </w:style>
  <w:style w:type="paragraph" w:styleId="18">
    <w:name w:val="header"/>
    <w:basedOn w:val="1"/>
    <w:link w:val="80"/>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nhideWhenUsed/>
    <w:qFormat/>
    <w:uiPriority w:val="99"/>
  </w:style>
  <w:style w:type="paragraph" w:styleId="20">
    <w:name w:val="toc 2"/>
    <w:basedOn w:val="1"/>
    <w:next w:val="1"/>
    <w:unhideWhenUsed/>
    <w:qFormat/>
    <w:uiPriority w:val="39"/>
    <w:pPr>
      <w:ind w:left="420" w:leftChars="200"/>
    </w:pPr>
  </w:style>
  <w:style w:type="paragraph" w:styleId="21">
    <w:name w:val="Body Text 2"/>
    <w:basedOn w:val="1"/>
    <w:link w:val="73"/>
    <w:qFormat/>
    <w:uiPriority w:val="0"/>
    <w:pPr>
      <w:spacing w:after="120" w:line="480" w:lineRule="auto"/>
    </w:pPr>
    <w:rPr>
      <w:rFonts w:ascii="Times New Roman" w:eastAsia="宋体"/>
      <w:kern w:val="2"/>
      <w:sz w:val="21"/>
      <w:szCs w:val="24"/>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6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sz w:val="24"/>
      <w:szCs w:val="24"/>
    </w:rPr>
  </w:style>
  <w:style w:type="paragraph" w:styleId="24">
    <w:name w:val="Normal (Web)"/>
    <w:basedOn w:val="1"/>
    <w:qFormat/>
    <w:uiPriority w:val="0"/>
    <w:pPr>
      <w:spacing w:beforeAutospacing="1" w:afterAutospacing="1"/>
      <w:jc w:val="left"/>
    </w:pPr>
    <w:rPr>
      <w:sz w:val="24"/>
    </w:rPr>
  </w:style>
  <w:style w:type="paragraph" w:styleId="25">
    <w:name w:val="annotation subject"/>
    <w:basedOn w:val="10"/>
    <w:next w:val="10"/>
    <w:link w:val="119"/>
    <w:qFormat/>
    <w:uiPriority w:val="0"/>
    <w:rPr>
      <w:b/>
      <w:bCs/>
    </w:rPr>
  </w:style>
  <w:style w:type="paragraph" w:styleId="26">
    <w:name w:val="Body Text First Indent"/>
    <w:basedOn w:val="2"/>
    <w:next w:val="27"/>
    <w:link w:val="62"/>
    <w:qFormat/>
    <w:uiPriority w:val="0"/>
    <w:pPr>
      <w:widowControl/>
      <w:spacing w:after="160"/>
      <w:ind w:firstLine="420" w:firstLineChars="100"/>
      <w:jc w:val="left"/>
    </w:pPr>
    <w:rPr>
      <w:rFonts w:ascii="仿宋体" w:eastAsia="仿宋体"/>
      <w:sz w:val="20"/>
      <w:lang w:eastAsia="en-US"/>
    </w:rPr>
  </w:style>
  <w:style w:type="paragraph" w:styleId="27">
    <w:name w:val="Body Text First Indent 2"/>
    <w:basedOn w:val="11"/>
    <w:next w:val="7"/>
    <w:link w:val="85"/>
    <w:qFormat/>
    <w:uiPriority w:val="0"/>
    <w:pPr>
      <w:spacing w:after="0" w:line="480" w:lineRule="exact"/>
      <w:ind w:left="0" w:leftChars="0" w:firstLine="420" w:firstLineChars="200"/>
    </w:pPr>
    <w:rPr>
      <w:rFonts w:ascii="Times New Roman" w:eastAsia="宋体"/>
      <w:kern w:val="2"/>
    </w:rPr>
  </w:style>
  <w:style w:type="table" w:styleId="29">
    <w:name w:val="Table Grid"/>
    <w:basedOn w:val="28"/>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Arial" w:hAnsi="Arial" w:eastAsia="黑体"/>
      <w:kern w:val="2"/>
      <w:sz w:val="21"/>
      <w:szCs w:val="21"/>
      <w:lang w:val="en-US" w:eastAsia="zh-CN" w:bidi="ar-SA"/>
    </w:rPr>
  </w:style>
  <w:style w:type="character" w:styleId="33">
    <w:name w:val="FollowedHyperlink"/>
    <w:basedOn w:val="30"/>
    <w:qFormat/>
    <w:uiPriority w:val="0"/>
    <w:rPr>
      <w:color w:val="333333"/>
      <w:sz w:val="18"/>
      <w:szCs w:val="18"/>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hint="default" w:ascii="Courier New" w:hAnsi="Courier New" w:cs="Courier New"/>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333333"/>
      <w:sz w:val="18"/>
      <w:szCs w:val="18"/>
      <w:u w:val="none"/>
    </w:rPr>
  </w:style>
  <w:style w:type="character" w:styleId="40">
    <w:name w:val="HTML Code"/>
    <w:basedOn w:val="30"/>
    <w:qFormat/>
    <w:uiPriority w:val="0"/>
    <w:rPr>
      <w:rFonts w:hint="default" w:ascii="Courier New" w:hAnsi="Courier New" w:cs="Courier New"/>
      <w:sz w:val="20"/>
    </w:rPr>
  </w:style>
  <w:style w:type="character" w:styleId="41">
    <w:name w:val="annotation reference"/>
    <w:basedOn w:val="30"/>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hint="default" w:ascii="Courier New" w:hAnsi="Courier New" w:cs="Courier New"/>
      <w:sz w:val="20"/>
    </w:rPr>
  </w:style>
  <w:style w:type="character" w:styleId="44">
    <w:name w:val="HTML Sample"/>
    <w:basedOn w:val="30"/>
    <w:qFormat/>
    <w:uiPriority w:val="0"/>
    <w:rPr>
      <w:rFonts w:ascii="Courier New" w:hAnsi="Courier New" w:cs="Courier New"/>
    </w:rPr>
  </w:style>
  <w:style w:type="paragraph" w:customStyle="1" w:styleId="45">
    <w:name w:val="样式 样式 样式 样式 标题 2 + 宋体 五号 非加粗 黑色 + 段前: 6 磅 段后: 0 磅 行距: 单倍行距 + 段前:..."/>
    <w:basedOn w:val="46"/>
    <w:qFormat/>
    <w:uiPriority w:val="0"/>
    <w:pPr/>
    <w:rPr>
      <w:b/>
    </w:rPr>
  </w:style>
  <w:style w:type="paragraph" w:customStyle="1" w:styleId="46">
    <w:name w:val="样式 样式 样式 标题 2 + 宋体 五号 非加粗 黑色 + 段前: 6 磅 段后: 0 磅 行距: 单倍行距 + 段前: 12..."/>
    <w:basedOn w:val="47"/>
    <w:qFormat/>
    <w:uiPriority w:val="0"/>
    <w:pPr>
      <w:spacing w:before="240"/>
    </w:pPr>
  </w:style>
  <w:style w:type="paragraph" w:customStyle="1" w:styleId="47">
    <w:name w:val="样式 样式 标题 2 + 宋体 五号 非加粗 黑色 + 段前: 6 磅 段后: 0 磅 行距: 单倍行距"/>
    <w:basedOn w:val="48"/>
    <w:qFormat/>
    <w:uiPriority w:val="0"/>
    <w:pPr>
      <w:spacing w:before="120" w:after="0" w:line="240" w:lineRule="auto"/>
    </w:pPr>
  </w:style>
  <w:style w:type="paragraph" w:customStyle="1" w:styleId="48">
    <w:name w:val="样式 标题 2 + 宋体 五号 非加粗 黑色"/>
    <w:basedOn w:val="4"/>
    <w:qFormat/>
    <w:uiPriority w:val="0"/>
    <w:pPr>
      <w:keepLines/>
      <w:tabs>
        <w:tab w:val="clear" w:pos="3738"/>
      </w:tabs>
      <w:adjustRightInd w:val="0"/>
      <w:spacing w:before="260" w:after="260" w:line="416" w:lineRule="atLeast"/>
      <w:ind w:left="240"/>
      <w:jc w:val="left"/>
      <w:textAlignment w:val="baseline"/>
    </w:pPr>
    <w:rPr>
      <w:b w:val="0"/>
      <w:color w:val="000000"/>
      <w:sz w:val="21"/>
    </w:rPr>
  </w:style>
  <w:style w:type="paragraph" w:customStyle="1" w:styleId="49">
    <w:name w:val="p15"/>
    <w:basedOn w:val="1"/>
    <w:qFormat/>
    <w:uiPriority w:val="0"/>
    <w:pPr>
      <w:widowControl/>
      <w:spacing w:before="100" w:beforeAutospacing="1" w:after="100" w:afterAutospacing="1"/>
      <w:jc w:val="left"/>
    </w:pPr>
    <w:rPr>
      <w:rFonts w:ascii="宋体" w:hAnsi="宋体" w:cs="宋体"/>
      <w:sz w:val="24"/>
    </w:rPr>
  </w:style>
  <w:style w:type="paragraph" w:customStyle="1" w:styleId="50">
    <w:name w:val="正文 B"/>
    <w:qFormat/>
    <w:uiPriority w:val="0"/>
    <w:rPr>
      <w:rFonts w:ascii="Arial Unicode MS" w:hAnsi="Arial Unicode MS" w:eastAsia="Arial Unicode MS" w:cs="Arial Unicode MS"/>
      <w:color w:val="000000"/>
      <w:sz w:val="24"/>
      <w:szCs w:val="24"/>
      <w:lang w:val="en-US" w:eastAsia="zh-CN" w:bidi="ar-SA"/>
    </w:rPr>
  </w:style>
  <w:style w:type="paragraph" w:customStyle="1" w:styleId="51">
    <w:name w:val="1 Char Char Char Char"/>
    <w:basedOn w:val="1"/>
    <w:qFormat/>
    <w:uiPriority w:val="0"/>
    <w:pPr>
      <w:ind w:left="120"/>
    </w:pPr>
    <w:rPr>
      <w:rFonts w:ascii="宋体" w:hAnsi="宋体" w:eastAsia="宋体" w:cs="宋体"/>
      <w:b/>
      <w:sz w:val="24"/>
    </w:rPr>
  </w:style>
  <w:style w:type="paragraph" w:customStyle="1" w:styleId="52">
    <w:name w:val="样式1"/>
    <w:basedOn w:val="1"/>
    <w:qFormat/>
    <w:uiPriority w:val="0"/>
    <w:pPr>
      <w:numPr>
        <w:ilvl w:val="0"/>
        <w:numId w:val="2"/>
      </w:numPr>
      <w:adjustRightInd w:val="0"/>
      <w:textAlignment w:val="baseline"/>
    </w:pPr>
    <w:rPr>
      <w:rFonts w:ascii="宋体" w:hAnsi="宋体" w:eastAsia="宋体"/>
      <w:sz w:val="21"/>
    </w:rPr>
  </w:style>
  <w:style w:type="paragraph" w:customStyle="1" w:styleId="53">
    <w:name w:val="正文首行缩进 21"/>
    <w:basedOn w:val="11"/>
    <w:qFormat/>
    <w:uiPriority w:val="0"/>
    <w:pPr>
      <w:spacing w:after="0" w:line="480" w:lineRule="exact"/>
      <w:ind w:left="0" w:leftChars="0" w:firstLine="200" w:firstLineChars="200"/>
    </w:pPr>
    <w:rPr>
      <w:rFonts w:ascii="Times New Roman" w:eastAsia="楷体_GB2312"/>
      <w:kern w:val="2"/>
    </w:rPr>
  </w:style>
  <w:style w:type="paragraph" w:customStyle="1" w:styleId="54">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55">
    <w:name w:val="正文首行缩进1"/>
    <w:basedOn w:val="2"/>
    <w:next w:val="53"/>
    <w:qFormat/>
    <w:uiPriority w:val="0"/>
    <w:pPr>
      <w:widowControl/>
      <w:spacing w:after="160"/>
      <w:ind w:firstLine="420" w:firstLineChars="100"/>
      <w:jc w:val="left"/>
    </w:pPr>
    <w:rPr>
      <w:rFonts w:ascii="仿宋体" w:eastAsia="仿宋体"/>
      <w:sz w:val="20"/>
      <w:lang w:eastAsia="en-US"/>
    </w:rPr>
  </w:style>
  <w:style w:type="paragraph" w:customStyle="1" w:styleId="56">
    <w:name w:val="xl26"/>
    <w:basedOn w:val="1"/>
    <w:qFormat/>
    <w:uiPriority w:val="0"/>
    <w:pPr>
      <w:widowControl/>
      <w:suppressAutoHyphens/>
      <w:spacing w:before="280" w:after="280"/>
      <w:textAlignment w:val="center"/>
    </w:pPr>
    <w:rPr>
      <w:rFonts w:ascii="楷体_GB2312" w:hAnsi="楷体_GB2312" w:eastAsia="楷体_GB2312"/>
      <w:b/>
      <w:bCs/>
      <w:kern w:val="1"/>
      <w:szCs w:val="24"/>
      <w:lang w:eastAsia="ar-SA"/>
    </w:rPr>
  </w:style>
  <w:style w:type="paragraph" w:customStyle="1" w:styleId="57">
    <w:name w:val="正文 A"/>
    <w:qFormat/>
    <w:uiPriority w:val="0"/>
    <w:rPr>
      <w:rFonts w:ascii="Times New Roman" w:hAnsi="Times New Roman" w:eastAsia="Arial Unicode MS" w:cs="Arial Unicode MS"/>
      <w:color w:val="000000"/>
      <w:sz w:val="22"/>
      <w:szCs w:val="22"/>
      <w:lang w:val="en-US" w:eastAsia="zh-CN" w:bidi="ar-SA"/>
    </w:rPr>
  </w:style>
  <w:style w:type="paragraph" w:styleId="58">
    <w:name w:val="List Paragraph"/>
    <w:basedOn w:val="1"/>
    <w:qFormat/>
    <w:uiPriority w:val="0"/>
    <w:pPr>
      <w:ind w:firstLine="420"/>
    </w:pPr>
    <w:rPr>
      <w:rFonts w:ascii="Times New Roman" w:eastAsia="宋体"/>
      <w:kern w:val="1"/>
      <w:sz w:val="21"/>
      <w:szCs w:val="24"/>
    </w:rPr>
  </w:style>
  <w:style w:type="paragraph" w:customStyle="1" w:styleId="59">
    <w:name w:val="cjk"/>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1">
    <w:name w:val="HTML 预设格式 字符"/>
    <w:basedOn w:val="30"/>
    <w:link w:val="23"/>
    <w:semiHidden/>
    <w:qFormat/>
    <w:uiPriority w:val="99"/>
    <w:rPr>
      <w:rFonts w:ascii="Courier New" w:hAnsi="Courier New" w:eastAsia="仿宋_GB2312" w:cs="Courier New"/>
      <w:kern w:val="0"/>
      <w:sz w:val="20"/>
      <w:szCs w:val="20"/>
    </w:rPr>
  </w:style>
  <w:style w:type="character" w:customStyle="1" w:styleId="62">
    <w:name w:val="正文文本首行缩进 字符"/>
    <w:basedOn w:val="63"/>
    <w:link w:val="26"/>
    <w:qFormat/>
    <w:uiPriority w:val="0"/>
    <w:rPr>
      <w:rFonts w:ascii="仿宋体" w:hAnsi="Times New Roman" w:eastAsia="仿宋体" w:cs="Times New Roman"/>
      <w:kern w:val="0"/>
      <w:sz w:val="20"/>
      <w:lang w:eastAsia="en-US"/>
    </w:rPr>
  </w:style>
  <w:style w:type="character" w:customStyle="1" w:styleId="63">
    <w:name w:val="正文文本 字符"/>
    <w:basedOn w:val="30"/>
    <w:link w:val="2"/>
    <w:semiHidden/>
    <w:qFormat/>
    <w:uiPriority w:val="99"/>
    <w:rPr>
      <w:rFonts w:ascii="仿宋_GB2312" w:hAnsi="Times New Roman" w:eastAsia="仿宋_GB2312" w:cs="Times New Roman"/>
      <w:kern w:val="0"/>
      <w:sz w:val="32"/>
    </w:rPr>
  </w:style>
  <w:style w:type="character" w:customStyle="1" w:styleId="64">
    <w:name w:val="font51"/>
    <w:basedOn w:val="30"/>
    <w:qFormat/>
    <w:uiPriority w:val="0"/>
    <w:rPr>
      <w:rFonts w:hint="eastAsia" w:ascii="宋体" w:hAnsi="宋体" w:eastAsia="宋体" w:cs="宋体"/>
      <w:color w:val="444444"/>
      <w:sz w:val="24"/>
      <w:szCs w:val="24"/>
      <w:u w:val="none"/>
      <w:vertAlign w:val="superscript"/>
    </w:rPr>
  </w:style>
  <w:style w:type="character" w:customStyle="1" w:styleId="65">
    <w:name w:val="font71"/>
    <w:basedOn w:val="30"/>
    <w:qFormat/>
    <w:uiPriority w:val="0"/>
    <w:rPr>
      <w:rFonts w:hint="eastAsia" w:ascii="宋体" w:hAnsi="宋体" w:eastAsia="宋体" w:cs="宋体"/>
      <w:color w:val="444444"/>
      <w:sz w:val="24"/>
      <w:szCs w:val="24"/>
      <w:u w:val="none"/>
    </w:rPr>
  </w:style>
  <w:style w:type="character" w:customStyle="1" w:styleId="66">
    <w:name w:val="标题 2 字符"/>
    <w:basedOn w:val="30"/>
    <w:link w:val="4"/>
    <w:qFormat/>
    <w:uiPriority w:val="0"/>
    <w:rPr>
      <w:rFonts w:ascii="宋体" w:hAnsi="宋体" w:eastAsia="宋体" w:cs="Times New Roman"/>
      <w:b/>
      <w:kern w:val="0"/>
      <w:sz w:val="30"/>
    </w:rPr>
  </w:style>
  <w:style w:type="character" w:customStyle="1" w:styleId="67">
    <w:name w:val="页脚 字符"/>
    <w:basedOn w:val="30"/>
    <w:link w:val="17"/>
    <w:qFormat/>
    <w:uiPriority w:val="0"/>
    <w:rPr>
      <w:rFonts w:ascii="仿宋_GB2312" w:hAnsi="Times New Roman" w:eastAsia="仿宋_GB2312" w:cs="Times New Roman"/>
      <w:kern w:val="0"/>
      <w:sz w:val="18"/>
    </w:rPr>
  </w:style>
  <w:style w:type="character" w:customStyle="1" w:styleId="68">
    <w:name w:val="正文文本 2 Char"/>
    <w:basedOn w:val="30"/>
    <w:qFormat/>
    <w:uiPriority w:val="0"/>
    <w:rPr>
      <w:rFonts w:ascii="Times New Roman" w:hAnsi="Times New Roman" w:eastAsia="宋体" w:cs="Times New Roman"/>
      <w:szCs w:val="24"/>
    </w:rPr>
  </w:style>
  <w:style w:type="character" w:customStyle="1" w:styleId="69">
    <w:name w:val="font11"/>
    <w:basedOn w:val="30"/>
    <w:qFormat/>
    <w:uiPriority w:val="0"/>
    <w:rPr>
      <w:rFonts w:hint="eastAsia" w:ascii="宋体" w:hAnsi="宋体" w:eastAsia="宋体" w:cs="宋体"/>
      <w:color w:val="000000"/>
      <w:sz w:val="18"/>
      <w:szCs w:val="18"/>
      <w:u w:val="none"/>
    </w:rPr>
  </w:style>
  <w:style w:type="character" w:customStyle="1" w:styleId="70">
    <w:name w:val="font41"/>
    <w:basedOn w:val="30"/>
    <w:qFormat/>
    <w:uiPriority w:val="0"/>
    <w:rPr>
      <w:rFonts w:hint="eastAsia" w:ascii="宋体" w:hAnsi="宋体" w:eastAsia="宋体" w:cs="宋体"/>
      <w:color w:val="000000"/>
      <w:sz w:val="18"/>
      <w:szCs w:val="18"/>
      <w:u w:val="none"/>
    </w:rPr>
  </w:style>
  <w:style w:type="character" w:customStyle="1" w:styleId="71">
    <w:name w:val="正文文本缩进 2 字符"/>
    <w:basedOn w:val="30"/>
    <w:link w:val="15"/>
    <w:semiHidden/>
    <w:qFormat/>
    <w:uiPriority w:val="99"/>
    <w:rPr>
      <w:rFonts w:ascii="仿宋_GB2312" w:hAnsi="Times New Roman" w:eastAsia="仿宋_GB2312" w:cs="Times New Roman"/>
      <w:kern w:val="0"/>
      <w:sz w:val="32"/>
    </w:rPr>
  </w:style>
  <w:style w:type="character" w:customStyle="1" w:styleId="72">
    <w:name w:val="标题 3 字符"/>
    <w:basedOn w:val="30"/>
    <w:link w:val="5"/>
    <w:qFormat/>
    <w:uiPriority w:val="0"/>
    <w:rPr>
      <w:rFonts w:ascii="Arial" w:hAnsi="Arial" w:eastAsia="华文宋体" w:cs="Times New Roman"/>
      <w:b/>
      <w:kern w:val="0"/>
      <w:sz w:val="26"/>
    </w:rPr>
  </w:style>
  <w:style w:type="character" w:customStyle="1" w:styleId="73">
    <w:name w:val="正文文本 2 字符"/>
    <w:basedOn w:val="30"/>
    <w:link w:val="21"/>
    <w:semiHidden/>
    <w:qFormat/>
    <w:uiPriority w:val="99"/>
    <w:rPr>
      <w:rFonts w:ascii="仿宋_GB2312" w:hAnsi="Times New Roman" w:eastAsia="仿宋_GB2312" w:cs="Times New Roman"/>
      <w:kern w:val="0"/>
      <w:sz w:val="32"/>
    </w:rPr>
  </w:style>
  <w:style w:type="character" w:customStyle="1" w:styleId="74">
    <w:name w:val="正文文本缩进 2 Char"/>
    <w:basedOn w:val="30"/>
    <w:qFormat/>
    <w:uiPriority w:val="0"/>
    <w:rPr>
      <w:rFonts w:ascii="仿宋_GB2312" w:hAnsi="Times New Roman" w:eastAsia="仿宋_GB2312" w:cs="Times New Roman"/>
      <w:kern w:val="0"/>
      <w:sz w:val="24"/>
      <w:szCs w:val="24"/>
    </w:rPr>
  </w:style>
  <w:style w:type="character" w:customStyle="1" w:styleId="75">
    <w:name w:val="批注文字 字符"/>
    <w:basedOn w:val="30"/>
    <w:link w:val="10"/>
    <w:semiHidden/>
    <w:qFormat/>
    <w:uiPriority w:val="99"/>
    <w:rPr>
      <w:rFonts w:ascii="仿宋_GB2312" w:hAnsi="Times New Roman" w:eastAsia="仿宋_GB2312" w:cs="Times New Roman"/>
      <w:kern w:val="0"/>
      <w:sz w:val="32"/>
    </w:rPr>
  </w:style>
  <w:style w:type="character" w:customStyle="1" w:styleId="76">
    <w:name w:val="纯文本 字符"/>
    <w:basedOn w:val="30"/>
    <w:link w:val="14"/>
    <w:semiHidden/>
    <w:qFormat/>
    <w:uiPriority w:val="99"/>
    <w:rPr>
      <w:rFonts w:ascii="宋体" w:hAnsi="Courier New" w:eastAsia="宋体" w:cs="Courier New"/>
      <w:kern w:val="0"/>
      <w:szCs w:val="21"/>
    </w:rPr>
  </w:style>
  <w:style w:type="character" w:customStyle="1" w:styleId="77">
    <w:name w:val="标题 1 字符"/>
    <w:basedOn w:val="30"/>
    <w:link w:val="3"/>
    <w:qFormat/>
    <w:uiPriority w:val="0"/>
    <w:rPr>
      <w:rFonts w:ascii="仿宋_GB2312" w:hAnsi="Times New Roman" w:eastAsia="仿宋_GB2312" w:cs="Times New Roman"/>
      <w:b/>
      <w:bCs/>
      <w:kern w:val="44"/>
      <w:sz w:val="44"/>
      <w:szCs w:val="44"/>
    </w:rPr>
  </w:style>
  <w:style w:type="character" w:customStyle="1" w:styleId="78">
    <w:name w:val="纯文本 Char"/>
    <w:basedOn w:val="30"/>
    <w:qFormat/>
    <w:uiPriority w:val="0"/>
    <w:rPr>
      <w:rFonts w:ascii="宋体" w:hAnsi="宋体" w:eastAsia="宋体" w:cs="Courier New"/>
      <w:kern w:val="1"/>
      <w:szCs w:val="21"/>
    </w:rPr>
  </w:style>
  <w:style w:type="character" w:customStyle="1" w:styleId="79">
    <w:name w:val="HTML 预设格式 Char"/>
    <w:basedOn w:val="30"/>
    <w:qFormat/>
    <w:uiPriority w:val="0"/>
    <w:rPr>
      <w:rFonts w:ascii="宋体" w:hAnsi="宋体" w:eastAsia="宋体" w:cs="Times New Roman"/>
      <w:kern w:val="0"/>
      <w:sz w:val="24"/>
      <w:szCs w:val="24"/>
    </w:rPr>
  </w:style>
  <w:style w:type="character" w:customStyle="1" w:styleId="80">
    <w:name w:val="页眉 字符"/>
    <w:basedOn w:val="30"/>
    <w:link w:val="18"/>
    <w:qFormat/>
    <w:uiPriority w:val="0"/>
    <w:rPr>
      <w:rFonts w:ascii="仿宋_GB2312" w:hAnsi="Times New Roman" w:eastAsia="仿宋_GB2312" w:cs="Times New Roman"/>
      <w:kern w:val="0"/>
      <w:sz w:val="18"/>
    </w:rPr>
  </w:style>
  <w:style w:type="character" w:customStyle="1" w:styleId="81">
    <w:name w:val="批注框文本 Char"/>
    <w:basedOn w:val="30"/>
    <w:qFormat/>
    <w:uiPriority w:val="0"/>
    <w:rPr>
      <w:rFonts w:ascii="仿宋_GB2312" w:hAnsi="Times New Roman" w:eastAsia="仿宋_GB2312" w:cs="Times New Roman"/>
      <w:kern w:val="0"/>
      <w:sz w:val="18"/>
      <w:szCs w:val="18"/>
    </w:rPr>
  </w:style>
  <w:style w:type="character" w:customStyle="1" w:styleId="82">
    <w:name w:val="正文文本缩进 字符"/>
    <w:basedOn w:val="30"/>
    <w:link w:val="11"/>
    <w:semiHidden/>
    <w:qFormat/>
    <w:uiPriority w:val="99"/>
    <w:rPr>
      <w:rFonts w:ascii="仿宋_GB2312" w:hAnsi="Times New Roman" w:eastAsia="仿宋_GB2312" w:cs="Times New Roman"/>
      <w:kern w:val="0"/>
      <w:sz w:val="32"/>
    </w:rPr>
  </w:style>
  <w:style w:type="character" w:customStyle="1" w:styleId="83">
    <w:name w:val="批注框文本 字符"/>
    <w:basedOn w:val="30"/>
    <w:link w:val="16"/>
    <w:semiHidden/>
    <w:qFormat/>
    <w:uiPriority w:val="99"/>
    <w:rPr>
      <w:rFonts w:ascii="仿宋_GB2312" w:hAnsi="Times New Roman" w:eastAsia="仿宋_GB2312" w:cs="Times New Roman"/>
      <w:kern w:val="0"/>
      <w:sz w:val="18"/>
      <w:szCs w:val="18"/>
    </w:rPr>
  </w:style>
  <w:style w:type="character" w:customStyle="1" w:styleId="84">
    <w:name w:val="Char Char"/>
    <w:qFormat/>
    <w:uiPriority w:val="99"/>
    <w:rPr>
      <w:rFonts w:ascii="仿宋_GB2312" w:eastAsia="宋体"/>
      <w:b/>
      <w:kern w:val="44"/>
      <w:sz w:val="44"/>
      <w:lang w:val="en-US" w:eastAsia="zh-CN"/>
    </w:rPr>
  </w:style>
  <w:style w:type="character" w:customStyle="1" w:styleId="85">
    <w:name w:val="正文文本首行缩进 2 字符"/>
    <w:basedOn w:val="82"/>
    <w:link w:val="27"/>
    <w:qFormat/>
    <w:uiPriority w:val="0"/>
    <w:rPr>
      <w:rFonts w:ascii="Times New Roman" w:hAnsi="Times New Roman" w:eastAsia="宋体" w:cs="Times New Roman"/>
      <w:kern w:val="0"/>
      <w:sz w:val="32"/>
    </w:rPr>
  </w:style>
  <w:style w:type="character" w:customStyle="1" w:styleId="86">
    <w:name w:val="批注文字 Char"/>
    <w:basedOn w:val="30"/>
    <w:qFormat/>
    <w:uiPriority w:val="0"/>
    <w:rPr>
      <w:rFonts w:ascii="仿宋_GB2312" w:hAnsi="Times New Roman" w:eastAsia="仿宋_GB2312" w:cs="Times New Roman"/>
      <w:kern w:val="0"/>
      <w:sz w:val="32"/>
    </w:rPr>
  </w:style>
  <w:style w:type="character" w:customStyle="1" w:styleId="87">
    <w:name w:val="font21"/>
    <w:basedOn w:val="30"/>
    <w:qFormat/>
    <w:uiPriority w:val="0"/>
    <w:rPr>
      <w:rFonts w:hint="eastAsia" w:ascii="宋体" w:hAnsi="宋体" w:eastAsia="宋体" w:cs="宋体"/>
      <w:b/>
      <w:color w:val="444444"/>
      <w:sz w:val="36"/>
      <w:szCs w:val="36"/>
      <w:u w:val="none"/>
    </w:rPr>
  </w:style>
  <w:style w:type="character" w:customStyle="1" w:styleId="88">
    <w:name w:val="font61"/>
    <w:basedOn w:val="30"/>
    <w:qFormat/>
    <w:uiPriority w:val="0"/>
    <w:rPr>
      <w:rFonts w:hint="eastAsia" w:ascii="宋体" w:hAnsi="宋体" w:eastAsia="宋体" w:cs="宋体"/>
      <w:b/>
      <w:color w:val="444444"/>
      <w:sz w:val="36"/>
      <w:szCs w:val="36"/>
      <w:u w:val="none"/>
    </w:rPr>
  </w:style>
  <w:style w:type="character" w:customStyle="1" w:styleId="89">
    <w:name w:val="font31"/>
    <w:basedOn w:val="30"/>
    <w:qFormat/>
    <w:uiPriority w:val="0"/>
    <w:rPr>
      <w:rFonts w:hint="eastAsia" w:ascii="宋体" w:hAnsi="宋体" w:eastAsia="宋体" w:cs="宋体"/>
      <w:color w:val="444444"/>
      <w:sz w:val="24"/>
      <w:szCs w:val="24"/>
      <w:u w:val="none"/>
    </w:rPr>
  </w:style>
  <w:style w:type="character" w:customStyle="1" w:styleId="90">
    <w:name w:val="blue"/>
    <w:basedOn w:val="30"/>
    <w:qFormat/>
    <w:uiPriority w:val="0"/>
  </w:style>
  <w:style w:type="paragraph" w:customStyle="1" w:styleId="91">
    <w:name w:val="样式 宋体 五号 行距: 单倍行距"/>
    <w:basedOn w:val="1"/>
    <w:qFormat/>
    <w:uiPriority w:val="0"/>
    <w:rPr>
      <w:rFonts w:ascii="宋体" w:hAnsi="宋体"/>
      <w:sz w:val="21"/>
    </w:rPr>
  </w:style>
  <w:style w:type="character" w:customStyle="1" w:styleId="92">
    <w:name w:val="font91"/>
    <w:basedOn w:val="30"/>
    <w:qFormat/>
    <w:uiPriority w:val="0"/>
    <w:rPr>
      <w:rFonts w:hint="default" w:ascii="Times New Roman" w:hAnsi="Times New Roman" w:cs="Times New Roman"/>
      <w:color w:val="000000"/>
      <w:sz w:val="28"/>
      <w:szCs w:val="28"/>
      <w:u w:val="none"/>
    </w:rPr>
  </w:style>
  <w:style w:type="character" w:customStyle="1" w:styleId="93">
    <w:name w:val="font151"/>
    <w:basedOn w:val="30"/>
    <w:qFormat/>
    <w:uiPriority w:val="0"/>
    <w:rPr>
      <w:rFonts w:hint="eastAsia" w:ascii="宋体" w:hAnsi="宋体" w:eastAsia="宋体" w:cs="宋体"/>
      <w:color w:val="000000"/>
      <w:sz w:val="28"/>
      <w:szCs w:val="28"/>
      <w:u w:val="none"/>
    </w:rPr>
  </w:style>
  <w:style w:type="character" w:customStyle="1" w:styleId="94">
    <w:name w:val="font141"/>
    <w:basedOn w:val="30"/>
    <w:qFormat/>
    <w:uiPriority w:val="0"/>
    <w:rPr>
      <w:rFonts w:hint="eastAsia" w:ascii="等线" w:hAnsi="等线" w:eastAsia="等线" w:cs="等线"/>
      <w:color w:val="000000"/>
      <w:sz w:val="28"/>
      <w:szCs w:val="28"/>
      <w:u w:val="none"/>
    </w:rPr>
  </w:style>
  <w:style w:type="character" w:customStyle="1" w:styleId="95">
    <w:name w:val="font01"/>
    <w:basedOn w:val="30"/>
    <w:qFormat/>
    <w:uiPriority w:val="0"/>
    <w:rPr>
      <w:rFonts w:hint="default" w:ascii="Times New Roman" w:hAnsi="Times New Roman" w:cs="Times New Roman"/>
      <w:color w:val="000000"/>
      <w:sz w:val="24"/>
      <w:szCs w:val="24"/>
      <w:u w:val="none"/>
    </w:rPr>
  </w:style>
  <w:style w:type="paragraph" w:customStyle="1" w:styleId="96">
    <w:name w:val="BodyText1I"/>
    <w:basedOn w:val="97"/>
    <w:qFormat/>
    <w:uiPriority w:val="0"/>
    <w:pPr>
      <w:ind w:firstLine="420"/>
      <w:textAlignment w:val="auto"/>
    </w:pPr>
    <w:rPr>
      <w:rFonts w:ascii="Times New Roman"/>
    </w:rPr>
  </w:style>
  <w:style w:type="paragraph" w:customStyle="1" w:styleId="97">
    <w:name w:val="BodyText"/>
    <w:basedOn w:val="1"/>
    <w:qFormat/>
    <w:uiPriority w:val="0"/>
    <w:pPr>
      <w:spacing w:after="120"/>
      <w:textAlignment w:val="baseline"/>
    </w:pPr>
  </w:style>
  <w:style w:type="paragraph" w:customStyle="1" w:styleId="98">
    <w:name w:val="表格"/>
    <w:qFormat/>
    <w:uiPriority w:val="0"/>
    <w:pPr>
      <w:widowControl w:val="0"/>
      <w:adjustRightInd w:val="0"/>
      <w:snapToGrid w:val="0"/>
      <w:spacing w:line="320" w:lineRule="exact"/>
      <w:ind w:left="2" w:leftChars="1" w:right="113"/>
      <w:jc w:val="center"/>
    </w:pPr>
    <w:rPr>
      <w:rFonts w:ascii="Ari" w:hAnsi="Ari" w:eastAsia="宋体" w:cs="Times New Roman"/>
      <w:color w:val="000000"/>
      <w:sz w:val="21"/>
      <w:szCs w:val="21"/>
      <w:lang w:val="en-US" w:eastAsia="zh-CN" w:bidi="ar-SA"/>
    </w:rPr>
  </w:style>
  <w:style w:type="paragraph" w:customStyle="1" w:styleId="99">
    <w:name w:val="Y-图表"/>
    <w:basedOn w:val="1"/>
    <w:qFormat/>
    <w:uiPriority w:val="0"/>
    <w:pPr>
      <w:widowControl/>
      <w:jc w:val="center"/>
    </w:pPr>
    <w:rPr>
      <w:rFonts w:ascii="Times New Roman"/>
      <w:szCs w:val="21"/>
    </w:rPr>
  </w:style>
  <w:style w:type="paragraph" w:customStyle="1" w:styleId="100">
    <w:name w:val="正文3"/>
    <w:qFormat/>
    <w:uiPriority w:val="0"/>
    <w:pPr>
      <w:widowControl w:val="0"/>
      <w:adjustRightInd w:val="0"/>
      <w:snapToGrid w:val="0"/>
      <w:spacing w:before="120" w:after="120" w:line="288" w:lineRule="auto"/>
      <w:ind w:right="29" w:firstLine="475"/>
    </w:pPr>
    <w:rPr>
      <w:rFonts w:ascii="Arial" w:hAnsi="Arial" w:eastAsia="华文楷体" w:cs="宋体"/>
      <w:sz w:val="24"/>
      <w:lang w:val="en-US" w:eastAsia="en-US" w:bidi="ar-SA"/>
    </w:rPr>
  </w:style>
  <w:style w:type="table" w:customStyle="1" w:styleId="101">
    <w:name w:val="表格格式"/>
    <w:basedOn w:val="28"/>
    <w:qFormat/>
    <w:uiPriority w:val="0"/>
    <w:pPr>
      <w:widowControl w:val="0"/>
      <w:jc w:val="both"/>
    </w:pPr>
    <w:rPr>
      <w:rFonts w:ascii="Arial" w:hAnsi="Arial" w:eastAsia="华文楷体"/>
      <w:sz w:val="24"/>
    </w:rPr>
    <w:tblPr>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jc w:val="center"/>
    </w:trPr>
    <w:tcPr>
      <w:shd w:val="clear" w:color="auto" w:fill="auto"/>
      <w:vAlign w:val="center"/>
    </w:tcPr>
    <w:tblStylePr w:type="firstRow">
      <w:pPr>
        <w:jc w:val="center"/>
      </w:pPr>
      <w:rPr>
        <w:rFonts w:ascii="Arial" w:hAnsi="Arial" w:eastAsia="Cambria"/>
        <w:b/>
        <w:bCs/>
        <w:i w:val="0"/>
        <w:color w:val="auto"/>
        <w:sz w:val="24"/>
        <w:szCs w:val="24"/>
      </w:rPr>
      <w:tblPr/>
      <w:trPr>
        <w:tblHeader/>
      </w:trPr>
      <w:tcPr>
        <w:shd w:val="clear" w:color="auto" w:fill="A0A0A0"/>
      </w:tcPr>
    </w:tblStylePr>
    <w:tblStylePr w:type="firstCol">
      <w:pPr>
        <w:jc w:val="both"/>
      </w:pPr>
      <w:rPr>
        <w:rFonts w:ascii="Arial" w:hAnsi="Arial" w:eastAsia="Cambria"/>
        <w:sz w:val="24"/>
      </w:rPr>
    </w:tblStylePr>
    <w:tblStylePr w:type="lastCol">
      <w:pPr>
        <w:jc w:val="both"/>
      </w:pPr>
      <w:rPr>
        <w:rFonts w:ascii="Arial" w:hAnsi="Arial" w:eastAsia="Cambria"/>
        <w:sz w:val="24"/>
      </w:rPr>
    </w:tblStylePr>
  </w:style>
  <w:style w:type="paragraph" w:customStyle="1" w:styleId="102">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3">
    <w:name w:val="_Style 8"/>
    <w:basedOn w:val="2"/>
    <w:next w:val="26"/>
    <w:unhideWhenUsed/>
    <w:qFormat/>
    <w:uiPriority w:val="99"/>
    <w:pPr>
      <w:spacing w:line="360" w:lineRule="auto"/>
      <w:ind w:firstLine="720" w:firstLineChars="200"/>
    </w:pPr>
    <w:rPr>
      <w:sz w:val="24"/>
    </w:rPr>
  </w:style>
  <w:style w:type="paragraph" w:customStyle="1" w:styleId="104">
    <w:name w:val="yj正文"/>
    <w:basedOn w:val="1"/>
    <w:qFormat/>
    <w:uiPriority w:val="0"/>
    <w:pPr>
      <w:spacing w:beforeLines="50"/>
      <w:ind w:left="420"/>
      <w:jc w:val="left"/>
    </w:pPr>
    <w:rPr>
      <w:rFonts w:ascii="微软雅黑" w:hAnsi="微软雅黑" w:eastAsia="微软雅黑"/>
      <w:sz w:val="24"/>
      <w:szCs w:val="24"/>
    </w:rPr>
  </w:style>
  <w:style w:type="character" w:customStyle="1" w:styleId="105">
    <w:name w:val="fontstyle01"/>
    <w:qFormat/>
    <w:uiPriority w:val="0"/>
    <w:rPr>
      <w:rFonts w:hint="eastAsia" w:ascii="宋体" w:hAnsi="宋体" w:eastAsia="宋体"/>
      <w:color w:val="000000"/>
      <w:sz w:val="22"/>
      <w:szCs w:val="22"/>
    </w:rPr>
  </w:style>
  <w:style w:type="character" w:customStyle="1" w:styleId="106">
    <w:name w:val="fontstyle21"/>
    <w:qFormat/>
    <w:uiPriority w:val="0"/>
    <w:rPr>
      <w:rFonts w:hint="default" w:ascii="TimesNewRomanPSMT" w:hAnsi="TimesNewRomanPSMT"/>
      <w:color w:val="000000"/>
      <w:sz w:val="22"/>
      <w:szCs w:val="22"/>
    </w:rPr>
  </w:style>
  <w:style w:type="paragraph" w:customStyle="1" w:styleId="107">
    <w:name w:val="正文文本首行缩进1"/>
    <w:qFormat/>
    <w:uiPriority w:val="0"/>
    <w:pPr>
      <w:widowControl w:val="0"/>
      <w:spacing w:after="120"/>
      <w:ind w:firstLine="420"/>
      <w:jc w:val="both"/>
    </w:pPr>
    <w:rPr>
      <w:rFonts w:ascii="宋体" w:hAnsi="宋体" w:eastAsia="宋体" w:cs="宋体"/>
      <w:color w:val="000000"/>
      <w:sz w:val="34"/>
      <w:szCs w:val="34"/>
      <w:u w:color="000000"/>
      <w:lang w:val="en-US" w:eastAsia="zh-CN" w:bidi="ar-SA"/>
    </w:rPr>
  </w:style>
  <w:style w:type="character" w:customStyle="1" w:styleId="108">
    <w:name w:val="hover16"/>
    <w:basedOn w:val="30"/>
    <w:qFormat/>
    <w:uiPriority w:val="0"/>
  </w:style>
  <w:style w:type="character" w:customStyle="1" w:styleId="109">
    <w:name w:val="right"/>
    <w:basedOn w:val="30"/>
    <w:qFormat/>
    <w:uiPriority w:val="0"/>
    <w:rPr>
      <w:color w:val="999999"/>
      <w:sz w:val="19"/>
      <w:szCs w:val="19"/>
    </w:rPr>
  </w:style>
  <w:style w:type="character" w:customStyle="1" w:styleId="110">
    <w:name w:val="right1"/>
    <w:basedOn w:val="30"/>
    <w:qFormat/>
    <w:uiPriority w:val="0"/>
    <w:rPr>
      <w:color w:val="999999"/>
    </w:rPr>
  </w:style>
  <w:style w:type="character" w:customStyle="1" w:styleId="111">
    <w:name w:val="green"/>
    <w:basedOn w:val="30"/>
    <w:qFormat/>
    <w:uiPriority w:val="0"/>
    <w:rPr>
      <w:color w:val="58B200"/>
      <w:sz w:val="19"/>
      <w:szCs w:val="19"/>
    </w:rPr>
  </w:style>
  <w:style w:type="character" w:customStyle="1" w:styleId="112">
    <w:name w:val="gb-jt"/>
    <w:basedOn w:val="30"/>
    <w:qFormat/>
    <w:uiPriority w:val="0"/>
  </w:style>
  <w:style w:type="character" w:customStyle="1" w:styleId="113">
    <w:name w:val="red"/>
    <w:basedOn w:val="30"/>
    <w:qFormat/>
    <w:uiPriority w:val="0"/>
    <w:rPr>
      <w:color w:val="FF0000"/>
      <w:sz w:val="19"/>
      <w:szCs w:val="19"/>
    </w:rPr>
  </w:style>
  <w:style w:type="character" w:customStyle="1" w:styleId="114">
    <w:name w:val="red1"/>
    <w:basedOn w:val="30"/>
    <w:qFormat/>
    <w:uiPriority w:val="0"/>
    <w:rPr>
      <w:color w:val="FF0000"/>
      <w:sz w:val="24"/>
      <w:szCs w:val="24"/>
    </w:rPr>
  </w:style>
  <w:style w:type="character" w:customStyle="1" w:styleId="115">
    <w:name w:val="font101"/>
    <w:basedOn w:val="30"/>
    <w:qFormat/>
    <w:uiPriority w:val="0"/>
    <w:rPr>
      <w:rFonts w:hint="eastAsia" w:ascii="宋体" w:hAnsi="宋体" w:eastAsia="宋体" w:cs="宋体"/>
      <w:b/>
      <w:bCs/>
      <w:color w:val="000000"/>
      <w:sz w:val="28"/>
      <w:szCs w:val="28"/>
      <w:u w:val="none"/>
    </w:rPr>
  </w:style>
  <w:style w:type="character" w:customStyle="1" w:styleId="116">
    <w:name w:val="font81"/>
    <w:basedOn w:val="30"/>
    <w:qFormat/>
    <w:uiPriority w:val="0"/>
    <w:rPr>
      <w:rFonts w:hint="eastAsia" w:ascii="宋体" w:hAnsi="宋体" w:eastAsia="宋体" w:cs="宋体"/>
      <w:color w:val="000000"/>
      <w:sz w:val="21"/>
      <w:szCs w:val="21"/>
      <w:u w:val="none"/>
    </w:rPr>
  </w:style>
  <w:style w:type="character" w:customStyle="1" w:styleId="117">
    <w:name w:val="font112"/>
    <w:basedOn w:val="30"/>
    <w:qFormat/>
    <w:uiPriority w:val="0"/>
    <w:rPr>
      <w:rFonts w:hint="eastAsia" w:ascii="宋体" w:hAnsi="宋体" w:eastAsia="宋体" w:cs="宋体"/>
      <w:color w:val="000000"/>
      <w:sz w:val="20"/>
      <w:szCs w:val="20"/>
      <w:u w:val="none"/>
    </w:rPr>
  </w:style>
  <w:style w:type="character" w:customStyle="1" w:styleId="118">
    <w:name w:val="font121"/>
    <w:basedOn w:val="30"/>
    <w:qFormat/>
    <w:uiPriority w:val="0"/>
    <w:rPr>
      <w:rFonts w:ascii="Calibri" w:hAnsi="Calibri" w:cs="Calibri"/>
      <w:color w:val="000000"/>
      <w:sz w:val="21"/>
      <w:szCs w:val="21"/>
      <w:u w:val="none"/>
    </w:rPr>
  </w:style>
  <w:style w:type="character" w:customStyle="1" w:styleId="119">
    <w:name w:val="批注主题 字符"/>
    <w:basedOn w:val="75"/>
    <w:link w:val="25"/>
    <w:qFormat/>
    <w:uiPriority w:val="0"/>
    <w:rPr>
      <w:rFonts w:ascii="仿宋_GB2312" w:hAnsi="Times New Roman" w:eastAsia="仿宋_GB2312" w:cs="Times New Roman"/>
      <w:b/>
      <w:bCs/>
      <w:kern w:val="0"/>
      <w:sz w:val="32"/>
      <w:szCs w:val="22"/>
    </w:rPr>
  </w:style>
  <w:style w:type="character" w:customStyle="1" w:styleId="120">
    <w:name w:val="old"/>
    <w:basedOn w:val="30"/>
    <w:qFormat/>
    <w:uiPriority w:val="0"/>
    <w:rPr>
      <w:color w:val="999999"/>
    </w:rPr>
  </w:style>
  <w:style w:type="character" w:customStyle="1" w:styleId="121">
    <w:name w:val="hour_pm"/>
    <w:basedOn w:val="30"/>
    <w:qFormat/>
    <w:uiPriority w:val="0"/>
  </w:style>
  <w:style w:type="character" w:customStyle="1" w:styleId="122">
    <w:name w:val="layui-this2"/>
    <w:basedOn w:val="30"/>
    <w:qFormat/>
    <w:uiPriority w:val="0"/>
    <w:rPr>
      <w:bdr w:val="single" w:color="EEEEEE" w:sz="6" w:space="0"/>
      <w:shd w:val="clear" w:fill="FFFFFF"/>
    </w:rPr>
  </w:style>
  <w:style w:type="character" w:customStyle="1" w:styleId="123">
    <w:name w:val="hover17"/>
    <w:basedOn w:val="30"/>
    <w:qFormat/>
    <w:uiPriority w:val="0"/>
  </w:style>
  <w:style w:type="character" w:customStyle="1" w:styleId="124">
    <w:name w:val="active5"/>
    <w:basedOn w:val="30"/>
    <w:qFormat/>
    <w:uiPriority w:val="0"/>
    <w:rPr>
      <w:color w:val="FFFFFF"/>
      <w:shd w:val="clear" w:fill="006DCC"/>
    </w:rPr>
  </w:style>
  <w:style w:type="character" w:customStyle="1" w:styleId="125">
    <w:name w:val="layui-laypage-curr"/>
    <w:basedOn w:val="30"/>
    <w:qFormat/>
    <w:uiPriority w:val="0"/>
  </w:style>
  <w:style w:type="character" w:customStyle="1" w:styleId="126">
    <w:name w:val="disabled"/>
    <w:basedOn w:val="30"/>
    <w:qFormat/>
    <w:uiPriority w:val="0"/>
    <w:rPr>
      <w:color w:val="999999"/>
    </w:rPr>
  </w:style>
  <w:style w:type="character" w:customStyle="1" w:styleId="127">
    <w:name w:val="hour_am"/>
    <w:basedOn w:val="30"/>
    <w:qFormat/>
    <w:uiPriority w:val="0"/>
  </w:style>
  <w:style w:type="character" w:customStyle="1" w:styleId="128">
    <w:name w:val="glyphicon"/>
    <w:basedOn w:val="30"/>
    <w:qFormat/>
    <w:uiPriority w:val="0"/>
  </w:style>
  <w:style w:type="character" w:customStyle="1" w:styleId="129">
    <w:name w:val="first-child"/>
    <w:basedOn w:val="30"/>
    <w:qFormat/>
    <w:uiPriority w:val="0"/>
  </w:style>
  <w:style w:type="character" w:customStyle="1" w:styleId="130">
    <w:name w:val="hover15"/>
    <w:basedOn w:val="30"/>
    <w:qFormat/>
    <w:uiPriority w:val="0"/>
  </w:style>
  <w:style w:type="character" w:customStyle="1" w:styleId="131">
    <w:name w:val="ca-161"/>
    <w:basedOn w:val="30"/>
    <w:qFormat/>
    <w:uiPriority w:val="0"/>
    <w:rPr>
      <w:rFonts w:hint="eastAsia" w:ascii="宋体" w:hAnsi="宋体" w:eastAsia="宋体"/>
      <w:b/>
      <w:bCs/>
      <w:color w:val="000000"/>
      <w:spacing w:val="-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2411;&#26234;&#24935;&#21270;&#23460;&#22806;&#20581;&#36523;&#25151;&#22120;&#26448;&#21450;&#20307;&#32946;&#22120;&#26448;&#37319;&#36141;&#39033;&#30446;&#19968;&#26631;&#27573;&#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BD5FD-5A3A-4CAD-A7F0-45B9C4A8E3FC}">
  <ds:schemaRefs/>
</ds:datastoreItem>
</file>

<file path=docProps/app.xml><?xml version="1.0" encoding="utf-8"?>
<Properties xmlns="http://schemas.openxmlformats.org/officeDocument/2006/extended-properties" xmlns:vt="http://schemas.openxmlformats.org/officeDocument/2006/docPropsVTypes">
  <Template>新型智慧化室外健身房器材及体育器材采购项目一标段（修改）</Template>
  <Company>China</Company>
  <Pages>75</Pages>
  <Words>40592</Words>
  <Characters>43700</Characters>
  <Lines>484</Lines>
  <Paragraphs>136</Paragraphs>
  <TotalTime>5</TotalTime>
  <ScaleCrop>false</ScaleCrop>
  <LinksUpToDate>false</LinksUpToDate>
  <CharactersWithSpaces>45430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2022-07-30T13:00:00Z</dcterms:created>
  <dc:creator>Administrator</dc:creator>
  <cp:lastModifiedBy>s.x</cp:lastModifiedBy>
  <cp:lastPrinted>2021-08-19T09:58:00Z</cp:lastPrinted>
  <dcterms:modified xsi:type="dcterms:W3CDTF">2022-10-20T06:17:48Z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9C5BC7AB8E714906A5783950668BF011</vt:lpwstr>
  </property>
</Properties>
</file>