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54BEC">
      <w:pPr>
        <w:keepNext w:val="0"/>
        <w:keepLines w:val="0"/>
        <w:pageBreakBefore w:val="0"/>
        <w:widowControl w:val="0"/>
        <w:kinsoku/>
        <w:wordWrap/>
        <w:overflowPunct/>
        <w:topLinePunct w:val="0"/>
        <w:autoSpaceDE/>
        <w:autoSpaceDN/>
        <w:bidi w:val="0"/>
        <w:adjustRightInd/>
        <w:snapToGrid/>
        <w:spacing w:before="469" w:beforeLines="150" w:after="469" w:afterLines="150"/>
        <w:ind w:firstLine="0" w:firstLineChars="0"/>
        <w:jc w:val="center"/>
        <w:textAlignment w:val="auto"/>
        <w:outlineLvl w:val="0"/>
        <w:rPr>
          <w:rFonts w:hint="eastAsia" w:ascii="宋体" w:hAnsi="宋体"/>
          <w:b/>
          <w:bCs/>
          <w:color w:val="auto"/>
          <w:kern w:val="2"/>
          <w:sz w:val="52"/>
          <w:szCs w:val="52"/>
          <w:lang w:val="en-US" w:eastAsia="zh-CN"/>
        </w:rPr>
      </w:pPr>
      <w:bookmarkStart w:id="174" w:name="_GoBack"/>
      <w:bookmarkEnd w:id="174"/>
      <w:bookmarkStart w:id="0" w:name="_Toc27263"/>
      <w:bookmarkStart w:id="1" w:name="_Toc4346"/>
      <w:r>
        <w:rPr>
          <w:rFonts w:hint="eastAsia" w:ascii="宋体" w:hAnsi="宋体"/>
          <w:b/>
          <w:bCs/>
          <w:color w:val="auto"/>
          <w:kern w:val="2"/>
          <w:sz w:val="52"/>
          <w:szCs w:val="52"/>
          <w:lang w:val="en-US" w:eastAsia="zh-CN"/>
        </w:rPr>
        <w:t>卢氏县民政局2024年救助物资</w:t>
      </w:r>
      <w:bookmarkEnd w:id="0"/>
    </w:p>
    <w:p w14:paraId="1697E2D4">
      <w:pPr>
        <w:keepNext w:val="0"/>
        <w:keepLines w:val="0"/>
        <w:pageBreakBefore w:val="0"/>
        <w:widowControl w:val="0"/>
        <w:kinsoku/>
        <w:wordWrap/>
        <w:overflowPunct/>
        <w:topLinePunct w:val="0"/>
        <w:autoSpaceDE/>
        <w:autoSpaceDN/>
        <w:bidi w:val="0"/>
        <w:adjustRightInd/>
        <w:snapToGrid/>
        <w:spacing w:before="469" w:beforeLines="150" w:after="469" w:afterLines="150"/>
        <w:ind w:firstLine="0" w:firstLineChars="0"/>
        <w:jc w:val="center"/>
        <w:textAlignment w:val="auto"/>
        <w:outlineLvl w:val="0"/>
        <w:rPr>
          <w:rFonts w:hint="eastAsia" w:ascii="宋体" w:hAnsi="宋体"/>
          <w:b/>
          <w:bCs/>
          <w:color w:val="auto"/>
          <w:kern w:val="2"/>
          <w:sz w:val="72"/>
          <w:szCs w:val="72"/>
          <w:lang w:eastAsia="zh-CN"/>
        </w:rPr>
      </w:pPr>
      <w:bookmarkStart w:id="2" w:name="_Toc2327"/>
      <w:r>
        <w:rPr>
          <w:rFonts w:hint="eastAsia" w:ascii="宋体" w:hAnsi="宋体"/>
          <w:b/>
          <w:bCs/>
          <w:color w:val="auto"/>
          <w:kern w:val="2"/>
          <w:sz w:val="52"/>
          <w:szCs w:val="52"/>
          <w:lang w:val="en-US" w:eastAsia="zh-CN"/>
        </w:rPr>
        <w:t>采购项目</w:t>
      </w:r>
      <w:bookmarkEnd w:id="2"/>
      <w:r>
        <w:rPr>
          <w:rFonts w:hint="eastAsia" w:ascii="宋体" w:hAnsi="宋体"/>
          <w:b/>
          <w:bCs/>
          <w:color w:val="auto"/>
          <w:kern w:val="2"/>
          <w:sz w:val="52"/>
          <w:szCs w:val="52"/>
          <w:lang w:val="en-US" w:eastAsia="zh-CN"/>
        </w:rPr>
        <w:t>（二次）</w:t>
      </w:r>
    </w:p>
    <w:p w14:paraId="1BE87441">
      <w:pPr>
        <w:ind w:firstLine="0" w:firstLineChars="0"/>
        <w:jc w:val="center"/>
        <w:rPr>
          <w:rFonts w:hint="eastAsia" w:ascii="宋体" w:hAnsi="宋体"/>
          <w:b/>
          <w:color w:val="auto"/>
          <w:sz w:val="28"/>
          <w:szCs w:val="32"/>
          <w:lang w:eastAsia="zh-CN"/>
        </w:rPr>
      </w:pPr>
      <w:r>
        <w:rPr>
          <w:rFonts w:hint="eastAsia" w:ascii="宋体" w:hAnsi="宋体"/>
          <w:b/>
          <w:bCs/>
          <w:color w:val="auto"/>
          <w:kern w:val="2"/>
          <w:sz w:val="72"/>
          <w:szCs w:val="72"/>
          <w:lang w:eastAsia="zh-CN"/>
        </w:rPr>
        <w:t>招</w:t>
      </w:r>
      <w:r>
        <w:rPr>
          <w:rFonts w:hint="eastAsia" w:ascii="宋体" w:hAnsi="宋体"/>
          <w:b/>
          <w:bCs/>
          <w:color w:val="auto"/>
          <w:kern w:val="2"/>
          <w:sz w:val="72"/>
          <w:szCs w:val="72"/>
          <w:lang w:val="en-US" w:eastAsia="zh-CN"/>
        </w:rPr>
        <w:t xml:space="preserve"> </w:t>
      </w:r>
      <w:r>
        <w:rPr>
          <w:rFonts w:hint="eastAsia" w:ascii="宋体" w:hAnsi="宋体"/>
          <w:b/>
          <w:bCs/>
          <w:color w:val="auto"/>
          <w:kern w:val="2"/>
          <w:sz w:val="72"/>
          <w:szCs w:val="72"/>
          <w:lang w:eastAsia="zh-CN"/>
        </w:rPr>
        <w:t>标</w:t>
      </w:r>
      <w:r>
        <w:rPr>
          <w:rFonts w:hint="eastAsia" w:ascii="宋体" w:hAnsi="宋体"/>
          <w:b/>
          <w:bCs/>
          <w:color w:val="auto"/>
          <w:kern w:val="2"/>
          <w:sz w:val="72"/>
          <w:szCs w:val="72"/>
          <w:lang w:val="en-US" w:eastAsia="zh-CN"/>
        </w:rPr>
        <w:t xml:space="preserve"> </w:t>
      </w:r>
      <w:r>
        <w:rPr>
          <w:rFonts w:hint="eastAsia" w:ascii="宋体" w:hAnsi="宋体"/>
          <w:b/>
          <w:bCs/>
          <w:color w:val="auto"/>
          <w:kern w:val="2"/>
          <w:sz w:val="72"/>
          <w:szCs w:val="72"/>
        </w:rPr>
        <w:t>文</w:t>
      </w:r>
      <w:r>
        <w:rPr>
          <w:rFonts w:hint="eastAsia" w:ascii="宋体" w:hAnsi="宋体"/>
          <w:b/>
          <w:bCs/>
          <w:color w:val="auto"/>
          <w:kern w:val="2"/>
          <w:sz w:val="72"/>
          <w:szCs w:val="72"/>
          <w:lang w:val="en-US" w:eastAsia="zh-CN"/>
        </w:rPr>
        <w:t xml:space="preserve"> </w:t>
      </w:r>
      <w:r>
        <w:rPr>
          <w:rFonts w:hint="eastAsia" w:ascii="宋体" w:hAnsi="宋体"/>
          <w:b/>
          <w:bCs/>
          <w:color w:val="auto"/>
          <w:kern w:val="2"/>
          <w:sz w:val="72"/>
          <w:szCs w:val="72"/>
        </w:rPr>
        <w:t>件</w:t>
      </w:r>
      <w:bookmarkEnd w:id="1"/>
    </w:p>
    <w:p w14:paraId="55FA5C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b/>
          <w:color w:val="auto"/>
          <w:sz w:val="28"/>
          <w:szCs w:val="32"/>
          <w:lang w:eastAsia="zh-CN"/>
        </w:rPr>
      </w:pPr>
      <w:r>
        <w:rPr>
          <w:rFonts w:hint="eastAsia" w:ascii="宋体" w:hAnsi="宋体"/>
          <w:b/>
          <w:color w:val="auto"/>
          <w:sz w:val="28"/>
          <w:szCs w:val="32"/>
          <w:lang w:eastAsia="zh-CN"/>
        </w:rPr>
        <w:t>项目编号：三卢公开采购-2024-82、</w:t>
      </w:r>
      <w:r>
        <w:rPr>
          <w:rFonts w:hint="eastAsia" w:ascii="宋体" w:hAnsi="宋体"/>
          <w:b/>
          <w:color w:val="auto"/>
          <w:sz w:val="28"/>
          <w:szCs w:val="32"/>
          <w:lang w:val="en-US" w:eastAsia="zh-CN"/>
        </w:rPr>
        <w:t>LSGZ[2024]299-ZC219</w:t>
      </w:r>
    </w:p>
    <w:p w14:paraId="072D9F1B">
      <w:pPr>
        <w:ind w:firstLine="562"/>
        <w:jc w:val="center"/>
        <w:rPr>
          <w:rFonts w:ascii="宋体" w:hAnsi="宋体"/>
          <w:b/>
          <w:color w:val="auto"/>
          <w:kern w:val="2"/>
          <w:sz w:val="28"/>
          <w:szCs w:val="32"/>
        </w:rPr>
      </w:pPr>
    </w:p>
    <w:p w14:paraId="4E846228">
      <w:pPr>
        <w:pStyle w:val="4"/>
        <w:rPr>
          <w:color w:val="auto"/>
        </w:rPr>
      </w:pPr>
    </w:p>
    <w:p w14:paraId="6DAAC813">
      <w:pPr>
        <w:widowControl/>
        <w:shd w:val="clear" w:color="auto" w:fill="FFFFFF"/>
        <w:spacing w:line="390" w:lineRule="atLeast"/>
        <w:ind w:firstLine="0" w:firstLineChars="0"/>
        <w:jc w:val="center"/>
        <w:rPr>
          <w:rFonts w:ascii="宋体" w:hAnsi="宋体"/>
          <w:b/>
          <w:color w:val="auto"/>
          <w:kern w:val="2"/>
          <w:sz w:val="28"/>
          <w:szCs w:val="32"/>
        </w:rPr>
      </w:pPr>
      <w:r>
        <w:rPr>
          <w:rFonts w:hint="eastAsia" w:eastAsiaTheme="minorEastAsia"/>
          <w:b/>
          <w:color w:val="auto"/>
          <w:sz w:val="32"/>
          <w:lang w:eastAsia="zh-CN"/>
        </w:rPr>
        <w:drawing>
          <wp:inline distT="0" distB="0" distL="114300" distR="114300">
            <wp:extent cx="3048000" cy="2562225"/>
            <wp:effectExtent l="0" t="0" r="0" b="9525"/>
            <wp:docPr id="2" name="图片 2" descr="4983106d376311c00b41107166c11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83106d376311c00b41107166c11d4"/>
                    <pic:cNvPicPr>
                      <a:picLocks noChangeAspect="1"/>
                    </pic:cNvPicPr>
                  </pic:nvPicPr>
                  <pic:blipFill>
                    <a:blip r:embed="rId7"/>
                    <a:stretch>
                      <a:fillRect/>
                    </a:stretch>
                  </pic:blipFill>
                  <pic:spPr>
                    <a:xfrm>
                      <a:off x="0" y="0"/>
                      <a:ext cx="3048000" cy="2562225"/>
                    </a:xfrm>
                    <a:prstGeom prst="rect">
                      <a:avLst/>
                    </a:prstGeom>
                  </pic:spPr>
                </pic:pic>
              </a:graphicData>
            </a:graphic>
          </wp:inline>
        </w:drawing>
      </w:r>
    </w:p>
    <w:p w14:paraId="39E5F18F">
      <w:pPr>
        <w:ind w:right="-210" w:firstLine="643"/>
        <w:jc w:val="center"/>
        <w:rPr>
          <w:rFonts w:ascii="宋体" w:hAnsi="宋体" w:cs="仿宋"/>
          <w:b/>
          <w:bCs/>
          <w:color w:val="auto"/>
          <w:sz w:val="32"/>
          <w:szCs w:val="32"/>
        </w:rPr>
      </w:pPr>
    </w:p>
    <w:p w14:paraId="1EE9A69D">
      <w:pPr>
        <w:ind w:firstLine="480"/>
        <w:jc w:val="center"/>
        <w:rPr>
          <w:color w:val="auto"/>
        </w:rPr>
      </w:pPr>
    </w:p>
    <w:p w14:paraId="238E5AE0">
      <w:pPr>
        <w:ind w:firstLine="480"/>
        <w:rPr>
          <w:color w:val="auto"/>
        </w:rPr>
      </w:pPr>
      <w:bookmarkStart w:id="3" w:name="_Toc26046"/>
    </w:p>
    <w:p w14:paraId="3424217B">
      <w:pPr>
        <w:pStyle w:val="4"/>
        <w:ind w:firstLine="480"/>
        <w:rPr>
          <w:color w:val="auto"/>
        </w:rPr>
      </w:pPr>
    </w:p>
    <w:bookmarkEnd w:id="3"/>
    <w:p w14:paraId="63A69185">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720" w:lineRule="auto"/>
        <w:ind w:right="612" w:rightChars="0"/>
        <w:jc w:val="center"/>
        <w:textAlignment w:val="auto"/>
        <w:outlineLvl w:val="0"/>
        <w:rPr>
          <w:rFonts w:hint="eastAsia" w:eastAsia="宋体"/>
          <w:b/>
          <w:color w:val="auto"/>
          <w:sz w:val="32"/>
          <w:lang w:eastAsia="zh-CN"/>
        </w:rPr>
      </w:pPr>
      <w:bookmarkStart w:id="4" w:name="_Toc24800"/>
      <w:bookmarkStart w:id="5" w:name="_Toc5683"/>
      <w:bookmarkStart w:id="6" w:name="_Toc11066"/>
      <w:r>
        <w:rPr>
          <w:rFonts w:hint="eastAsia" w:eastAsia="宋体"/>
          <w:b/>
          <w:color w:val="auto"/>
          <w:sz w:val="32"/>
          <w:lang w:eastAsia="zh-CN"/>
        </w:rPr>
        <w:t>采购人：</w:t>
      </w:r>
      <w:bookmarkEnd w:id="4"/>
      <w:bookmarkEnd w:id="5"/>
      <w:r>
        <w:rPr>
          <w:rFonts w:hint="eastAsia" w:eastAsia="宋体"/>
          <w:b/>
          <w:color w:val="auto"/>
          <w:sz w:val="32"/>
          <w:lang w:val="en-US" w:eastAsia="zh-CN"/>
        </w:rPr>
        <w:t>卢氏县民政局</w:t>
      </w:r>
      <w:bookmarkEnd w:id="6"/>
    </w:p>
    <w:p w14:paraId="6242F361">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720" w:lineRule="auto"/>
        <w:ind w:right="612" w:rightChars="0"/>
        <w:jc w:val="center"/>
        <w:textAlignment w:val="auto"/>
        <w:outlineLvl w:val="0"/>
        <w:rPr>
          <w:rFonts w:hint="eastAsia"/>
          <w:b/>
          <w:color w:val="auto"/>
          <w:sz w:val="32"/>
          <w:lang w:eastAsia="zh-CN"/>
        </w:rPr>
      </w:pPr>
      <w:r>
        <w:rPr>
          <w:rFonts w:hint="eastAsia"/>
          <w:b/>
          <w:color w:val="auto"/>
          <w:sz w:val="32"/>
          <w:lang w:val="en-US" w:eastAsia="zh-CN"/>
        </w:rPr>
        <w:t xml:space="preserve">   </w:t>
      </w:r>
      <w:bookmarkStart w:id="7" w:name="_Toc28801"/>
      <w:bookmarkStart w:id="8" w:name="_Toc17582"/>
      <w:bookmarkStart w:id="9" w:name="_Toc12792"/>
      <w:r>
        <w:rPr>
          <w:b/>
          <w:color w:val="auto"/>
          <w:sz w:val="32"/>
        </w:rPr>
        <w:t>采购代理机构：</w:t>
      </w:r>
      <w:bookmarkEnd w:id="7"/>
      <w:bookmarkEnd w:id="8"/>
      <w:bookmarkEnd w:id="9"/>
      <w:r>
        <w:rPr>
          <w:rFonts w:hint="eastAsia"/>
          <w:b/>
          <w:color w:val="auto"/>
          <w:sz w:val="32"/>
          <w:lang w:eastAsia="zh-CN"/>
        </w:rPr>
        <w:t>河南龙冉工程管理有限公司</w:t>
      </w:r>
    </w:p>
    <w:p w14:paraId="3ABAF23E">
      <w:pPr>
        <w:pStyle w:val="32"/>
        <w:tabs>
          <w:tab w:val="right" w:leader="dot" w:pos="9746"/>
        </w:tabs>
        <w:spacing w:line="480" w:lineRule="auto"/>
        <w:ind w:left="0" w:leftChars="0"/>
        <w:jc w:val="center"/>
        <w:rPr>
          <w:b/>
          <w:color w:val="auto"/>
          <w:sz w:val="32"/>
        </w:rPr>
      </w:pPr>
      <w:r>
        <w:rPr>
          <w:rFonts w:hint="eastAsia"/>
          <w:b/>
          <w:color w:val="auto"/>
          <w:sz w:val="32"/>
          <w:lang w:eastAsia="zh-CN"/>
        </w:rPr>
        <w:t>日</w:t>
      </w:r>
      <w:r>
        <w:rPr>
          <w:b/>
          <w:color w:val="auto"/>
          <w:sz w:val="32"/>
        </w:rPr>
        <w:t>期：二</w:t>
      </w:r>
      <w:r>
        <w:rPr>
          <w:rFonts w:hint="eastAsia"/>
          <w:b/>
          <w:color w:val="auto"/>
          <w:sz w:val="32"/>
          <w:lang w:val="en-US" w:eastAsia="zh-CN"/>
        </w:rPr>
        <w:t>〇</w:t>
      </w:r>
      <w:r>
        <w:rPr>
          <w:b/>
          <w:color w:val="auto"/>
          <w:sz w:val="32"/>
        </w:rPr>
        <w:t>二</w:t>
      </w:r>
      <w:r>
        <w:rPr>
          <w:rFonts w:hint="eastAsia"/>
          <w:b/>
          <w:color w:val="auto"/>
          <w:sz w:val="32"/>
          <w:lang w:eastAsia="zh-CN"/>
        </w:rPr>
        <w:t>四</w:t>
      </w:r>
      <w:r>
        <w:rPr>
          <w:b/>
          <w:color w:val="auto"/>
          <w:sz w:val="32"/>
        </w:rPr>
        <w:t>年</w:t>
      </w:r>
      <w:r>
        <w:rPr>
          <w:rFonts w:hint="eastAsia"/>
          <w:b/>
          <w:color w:val="auto"/>
          <w:sz w:val="32"/>
          <w:lang w:val="en-US" w:eastAsia="zh-CN"/>
        </w:rPr>
        <w:t>十二</w:t>
      </w:r>
      <w:r>
        <w:rPr>
          <w:b/>
          <w:color w:val="auto"/>
          <w:sz w:val="32"/>
        </w:rPr>
        <w:t>月</w:t>
      </w:r>
    </w:p>
    <w:p w14:paraId="2335FA5C">
      <w:pPr>
        <w:rPr>
          <w:rFonts w:hint="eastAsia" w:eastAsiaTheme="minorEastAsia"/>
          <w:b/>
          <w:color w:val="auto"/>
          <w:sz w:val="32"/>
          <w:lang w:eastAsia="zh-CN"/>
        </w:rPr>
      </w:pPr>
      <w:r>
        <w:rPr>
          <w:b/>
          <w:color w:val="auto"/>
          <w:sz w:val="32"/>
        </w:rPr>
        <w:br w:type="page"/>
      </w:r>
    </w:p>
    <w:sdt>
      <w:sdtPr>
        <w:rPr>
          <w:rFonts w:ascii="宋体" w:hAnsi="宋体" w:eastAsia="宋体" w:cstheme="minorBidi"/>
          <w:kern w:val="2"/>
          <w:sz w:val="21"/>
          <w:szCs w:val="24"/>
          <w:lang w:val="en-US" w:eastAsia="zh-CN" w:bidi="ar-SA"/>
        </w:rPr>
        <w:id w:val="147475977"/>
        <w15:color w:val="DBDBDB"/>
        <w:docPartObj>
          <w:docPartGallery w:val="Table of Contents"/>
          <w:docPartUnique/>
        </w:docPartObj>
      </w:sdtPr>
      <w:sdtEndPr>
        <w:rPr>
          <w:rFonts w:asciiTheme="minorHAnsi" w:hAnsiTheme="minorHAnsi" w:eastAsiaTheme="minorEastAsia" w:cstheme="minorBidi"/>
          <w:color w:val="auto"/>
          <w:kern w:val="2"/>
          <w:sz w:val="21"/>
          <w:szCs w:val="24"/>
          <w:lang w:val="en-US" w:eastAsia="zh-CN" w:bidi="ar-SA"/>
        </w:rPr>
      </w:sdtEndPr>
      <w:sdtContent>
        <w:p w14:paraId="07AAA5A6">
          <w:pPr>
            <w:keepNext w:val="0"/>
            <w:keepLines w:val="0"/>
            <w:pageBreakBefore w:val="0"/>
            <w:widowControl w:val="0"/>
            <w:kinsoku/>
            <w:wordWrap/>
            <w:overflowPunct/>
            <w:topLinePunct w:val="0"/>
            <w:autoSpaceDE/>
            <w:autoSpaceDN/>
            <w:bidi w:val="0"/>
            <w:adjustRightInd/>
            <w:snapToGrid/>
            <w:spacing w:line="720" w:lineRule="auto"/>
            <w:ind w:firstLine="643" w:firstLineChars="0"/>
            <w:jc w:val="center"/>
            <w:textAlignment w:val="auto"/>
            <w:rPr>
              <w:sz w:val="28"/>
              <w:szCs w:val="28"/>
            </w:rPr>
          </w:pPr>
          <w:r>
            <w:rPr>
              <w:rFonts w:hint="eastAsia" w:asciiTheme="minorHAnsi" w:hAnsiTheme="minorHAnsi" w:eastAsiaTheme="minorEastAsia" w:cstheme="minorBidi"/>
              <w:color w:val="auto"/>
              <w:kern w:val="2"/>
              <w:sz w:val="32"/>
              <w:szCs w:val="40"/>
              <w:lang w:val="en-US" w:eastAsia="zh-CN" w:bidi="ar-SA"/>
            </w:rPr>
            <w:t>目 录</w:t>
          </w:r>
          <w:r>
            <w:rPr>
              <w:rFonts w:asciiTheme="minorHAnsi" w:hAnsiTheme="minorHAnsi" w:eastAsiaTheme="minorEastAsia" w:cstheme="minorBidi"/>
              <w:color w:val="auto"/>
              <w:kern w:val="2"/>
              <w:sz w:val="32"/>
              <w:szCs w:val="40"/>
              <w:lang w:val="en-US" w:eastAsia="zh-CN" w:bidi="ar-SA"/>
            </w:rPr>
            <w:fldChar w:fldCharType="begin"/>
          </w:r>
          <w:r>
            <w:rPr>
              <w:rFonts w:asciiTheme="minorHAnsi" w:hAnsiTheme="minorHAnsi" w:eastAsiaTheme="minorEastAsia" w:cstheme="minorBidi"/>
              <w:color w:val="auto"/>
              <w:kern w:val="2"/>
              <w:sz w:val="32"/>
              <w:szCs w:val="40"/>
              <w:lang w:val="en-US" w:eastAsia="zh-CN" w:bidi="ar-SA"/>
            </w:rPr>
            <w:instrText xml:space="preserve">TOC \o "1-1" \h \u </w:instrText>
          </w:r>
          <w:r>
            <w:rPr>
              <w:rFonts w:asciiTheme="minorHAnsi" w:hAnsiTheme="minorHAnsi" w:eastAsiaTheme="minorEastAsia" w:cstheme="minorBidi"/>
              <w:color w:val="auto"/>
              <w:kern w:val="2"/>
              <w:sz w:val="32"/>
              <w:szCs w:val="40"/>
              <w:lang w:val="en-US" w:eastAsia="zh-CN" w:bidi="ar-SA"/>
            </w:rPr>
            <w:fldChar w:fldCharType="separate"/>
          </w:r>
        </w:p>
        <w:p w14:paraId="2DCAA394">
          <w:pPr>
            <w:pStyle w:val="32"/>
            <w:tabs>
              <w:tab w:val="right" w:leader="dot" w:pos="9746"/>
            </w:tabs>
            <w:spacing w:line="480" w:lineRule="auto"/>
            <w:rPr>
              <w:sz w:val="28"/>
              <w:szCs w:val="28"/>
            </w:rPr>
          </w:pPr>
          <w:r>
            <w:rPr>
              <w:rFonts w:asciiTheme="minorHAnsi" w:hAnsiTheme="minorHAnsi" w:eastAsiaTheme="minorEastAsia" w:cstheme="minorBidi"/>
              <w:color w:val="auto"/>
              <w:kern w:val="2"/>
              <w:sz w:val="28"/>
              <w:szCs w:val="40"/>
              <w:lang w:val="en-US" w:eastAsia="zh-CN" w:bidi="ar-SA"/>
            </w:rPr>
            <w:fldChar w:fldCharType="begin"/>
          </w:r>
          <w:r>
            <w:rPr>
              <w:rFonts w:asciiTheme="minorHAnsi" w:hAnsiTheme="minorHAnsi" w:eastAsiaTheme="minorEastAsia" w:cstheme="minorBidi"/>
              <w:kern w:val="2"/>
              <w:sz w:val="28"/>
              <w:szCs w:val="40"/>
              <w:lang w:val="en-US" w:eastAsia="zh-CN" w:bidi="ar-SA"/>
            </w:rPr>
            <w:instrText xml:space="preserve"> HYPERLINK \l _Toc27979 </w:instrText>
          </w:r>
          <w:r>
            <w:rPr>
              <w:rFonts w:asciiTheme="minorHAnsi" w:hAnsiTheme="minorHAnsi" w:eastAsiaTheme="minorEastAsia" w:cstheme="minorBidi"/>
              <w:kern w:val="2"/>
              <w:sz w:val="28"/>
              <w:szCs w:val="40"/>
              <w:lang w:val="en-US" w:eastAsia="zh-CN" w:bidi="ar-SA"/>
            </w:rPr>
            <w:fldChar w:fldCharType="separate"/>
          </w:r>
          <w:r>
            <w:rPr>
              <w:rFonts w:hint="eastAsia" w:ascii="宋体" w:hAnsi="宋体" w:eastAsia="宋体" w:cs="宋体"/>
              <w:bCs/>
              <w:sz w:val="28"/>
              <w:szCs w:val="48"/>
            </w:rPr>
            <w:t>第一章  招标公告</w:t>
          </w:r>
          <w:r>
            <w:rPr>
              <w:sz w:val="28"/>
              <w:szCs w:val="28"/>
            </w:rPr>
            <w:tab/>
          </w:r>
          <w:r>
            <w:rPr>
              <w:sz w:val="28"/>
              <w:szCs w:val="28"/>
            </w:rPr>
            <w:fldChar w:fldCharType="begin"/>
          </w:r>
          <w:r>
            <w:rPr>
              <w:sz w:val="28"/>
              <w:szCs w:val="28"/>
            </w:rPr>
            <w:instrText xml:space="preserve"> PAGEREF _Toc27979 \h </w:instrText>
          </w:r>
          <w:r>
            <w:rPr>
              <w:sz w:val="28"/>
              <w:szCs w:val="28"/>
            </w:rPr>
            <w:fldChar w:fldCharType="separate"/>
          </w:r>
          <w:r>
            <w:rPr>
              <w:sz w:val="28"/>
              <w:szCs w:val="28"/>
            </w:rPr>
            <w:t>1</w:t>
          </w:r>
          <w:r>
            <w:rPr>
              <w:sz w:val="28"/>
              <w:szCs w:val="28"/>
            </w:rPr>
            <w:fldChar w:fldCharType="end"/>
          </w:r>
          <w:r>
            <w:rPr>
              <w:rFonts w:asciiTheme="minorHAnsi" w:hAnsiTheme="minorHAnsi" w:eastAsiaTheme="minorEastAsia" w:cstheme="minorBidi"/>
              <w:color w:val="auto"/>
              <w:kern w:val="2"/>
              <w:sz w:val="28"/>
              <w:szCs w:val="40"/>
              <w:lang w:val="en-US" w:eastAsia="zh-CN" w:bidi="ar-SA"/>
            </w:rPr>
            <w:fldChar w:fldCharType="end"/>
          </w:r>
        </w:p>
        <w:p w14:paraId="272A5C00">
          <w:pPr>
            <w:pStyle w:val="32"/>
            <w:tabs>
              <w:tab w:val="right" w:leader="dot" w:pos="9746"/>
            </w:tabs>
            <w:spacing w:line="480" w:lineRule="auto"/>
            <w:rPr>
              <w:sz w:val="28"/>
              <w:szCs w:val="28"/>
            </w:rPr>
          </w:pPr>
          <w:r>
            <w:rPr>
              <w:rFonts w:asciiTheme="minorHAnsi" w:hAnsiTheme="minorHAnsi" w:eastAsiaTheme="minorEastAsia" w:cstheme="minorBidi"/>
              <w:color w:val="auto"/>
              <w:kern w:val="2"/>
              <w:sz w:val="28"/>
              <w:szCs w:val="40"/>
              <w:lang w:val="en-US" w:eastAsia="zh-CN" w:bidi="ar-SA"/>
            </w:rPr>
            <w:fldChar w:fldCharType="begin"/>
          </w:r>
          <w:r>
            <w:rPr>
              <w:rFonts w:asciiTheme="minorHAnsi" w:hAnsiTheme="minorHAnsi" w:eastAsiaTheme="minorEastAsia" w:cstheme="minorBidi"/>
              <w:kern w:val="2"/>
              <w:sz w:val="28"/>
              <w:szCs w:val="40"/>
              <w:lang w:val="en-US" w:eastAsia="zh-CN" w:bidi="ar-SA"/>
            </w:rPr>
            <w:instrText xml:space="preserve"> HYPERLINK \l _Toc25087 </w:instrText>
          </w:r>
          <w:r>
            <w:rPr>
              <w:rFonts w:asciiTheme="minorHAnsi" w:hAnsiTheme="minorHAnsi" w:eastAsiaTheme="minorEastAsia" w:cstheme="minorBidi"/>
              <w:kern w:val="2"/>
              <w:sz w:val="28"/>
              <w:szCs w:val="40"/>
              <w:lang w:val="en-US" w:eastAsia="zh-CN" w:bidi="ar-SA"/>
            </w:rPr>
            <w:fldChar w:fldCharType="separate"/>
          </w:r>
          <w:r>
            <w:rPr>
              <w:rFonts w:hint="eastAsia" w:ascii="宋体" w:hAnsi="宋体" w:eastAsia="宋体" w:cs="宋体"/>
              <w:bCs/>
              <w:sz w:val="28"/>
              <w:szCs w:val="48"/>
            </w:rPr>
            <w:t>第二章  投标供应商须知</w:t>
          </w:r>
          <w:r>
            <w:rPr>
              <w:sz w:val="28"/>
              <w:szCs w:val="28"/>
            </w:rPr>
            <w:tab/>
          </w:r>
          <w:r>
            <w:rPr>
              <w:rFonts w:hint="eastAsia"/>
              <w:sz w:val="28"/>
              <w:szCs w:val="28"/>
              <w:lang w:val="en-US" w:eastAsia="zh-CN"/>
            </w:rPr>
            <w:t>7</w:t>
          </w:r>
          <w:r>
            <w:rPr>
              <w:rFonts w:asciiTheme="minorHAnsi" w:hAnsiTheme="minorHAnsi" w:eastAsiaTheme="minorEastAsia" w:cstheme="minorBidi"/>
              <w:color w:val="auto"/>
              <w:kern w:val="2"/>
              <w:sz w:val="28"/>
              <w:szCs w:val="40"/>
              <w:lang w:val="en-US" w:eastAsia="zh-CN" w:bidi="ar-SA"/>
            </w:rPr>
            <w:fldChar w:fldCharType="end"/>
          </w:r>
        </w:p>
        <w:p w14:paraId="69B68976">
          <w:pPr>
            <w:pStyle w:val="32"/>
            <w:tabs>
              <w:tab w:val="right" w:leader="dot" w:pos="9746"/>
            </w:tabs>
            <w:spacing w:line="480" w:lineRule="auto"/>
            <w:rPr>
              <w:sz w:val="28"/>
              <w:szCs w:val="28"/>
            </w:rPr>
          </w:pPr>
          <w:r>
            <w:rPr>
              <w:rFonts w:asciiTheme="minorHAnsi" w:hAnsiTheme="minorHAnsi" w:eastAsiaTheme="minorEastAsia" w:cstheme="minorBidi"/>
              <w:color w:val="auto"/>
              <w:kern w:val="2"/>
              <w:sz w:val="28"/>
              <w:szCs w:val="40"/>
              <w:lang w:val="en-US" w:eastAsia="zh-CN" w:bidi="ar-SA"/>
            </w:rPr>
            <w:fldChar w:fldCharType="begin"/>
          </w:r>
          <w:r>
            <w:rPr>
              <w:rFonts w:asciiTheme="minorHAnsi" w:hAnsiTheme="minorHAnsi" w:eastAsiaTheme="minorEastAsia" w:cstheme="minorBidi"/>
              <w:kern w:val="2"/>
              <w:sz w:val="28"/>
              <w:szCs w:val="40"/>
              <w:lang w:val="en-US" w:eastAsia="zh-CN" w:bidi="ar-SA"/>
            </w:rPr>
            <w:instrText xml:space="preserve"> HYPERLINK \l _Toc15043 </w:instrText>
          </w:r>
          <w:r>
            <w:rPr>
              <w:rFonts w:asciiTheme="minorHAnsi" w:hAnsiTheme="minorHAnsi" w:eastAsiaTheme="minorEastAsia" w:cstheme="minorBidi"/>
              <w:kern w:val="2"/>
              <w:sz w:val="28"/>
              <w:szCs w:val="40"/>
              <w:lang w:val="en-US" w:eastAsia="zh-CN" w:bidi="ar-SA"/>
            </w:rPr>
            <w:fldChar w:fldCharType="separate"/>
          </w:r>
          <w:r>
            <w:rPr>
              <w:rFonts w:hint="eastAsia" w:ascii="宋体" w:hAnsi="宋体" w:eastAsia="宋体" w:cs="宋体"/>
              <w:bCs/>
              <w:sz w:val="28"/>
              <w:szCs w:val="48"/>
            </w:rPr>
            <w:t>第三章  采购需求</w:t>
          </w:r>
          <w:r>
            <w:rPr>
              <w:sz w:val="28"/>
              <w:szCs w:val="28"/>
            </w:rPr>
            <w:tab/>
          </w:r>
          <w:r>
            <w:rPr>
              <w:sz w:val="28"/>
              <w:szCs w:val="28"/>
            </w:rPr>
            <w:fldChar w:fldCharType="begin"/>
          </w:r>
          <w:r>
            <w:rPr>
              <w:sz w:val="28"/>
              <w:szCs w:val="28"/>
            </w:rPr>
            <w:instrText xml:space="preserve"> PAGEREF _Toc15043 \h </w:instrText>
          </w:r>
          <w:r>
            <w:rPr>
              <w:sz w:val="28"/>
              <w:szCs w:val="28"/>
            </w:rPr>
            <w:fldChar w:fldCharType="separate"/>
          </w:r>
          <w:r>
            <w:rPr>
              <w:sz w:val="28"/>
              <w:szCs w:val="28"/>
            </w:rPr>
            <w:t>31</w:t>
          </w:r>
          <w:r>
            <w:rPr>
              <w:sz w:val="28"/>
              <w:szCs w:val="28"/>
            </w:rPr>
            <w:fldChar w:fldCharType="end"/>
          </w:r>
          <w:r>
            <w:rPr>
              <w:rFonts w:asciiTheme="minorHAnsi" w:hAnsiTheme="minorHAnsi" w:eastAsiaTheme="minorEastAsia" w:cstheme="minorBidi"/>
              <w:color w:val="auto"/>
              <w:kern w:val="2"/>
              <w:sz w:val="28"/>
              <w:szCs w:val="40"/>
              <w:lang w:val="en-US" w:eastAsia="zh-CN" w:bidi="ar-SA"/>
            </w:rPr>
            <w:fldChar w:fldCharType="end"/>
          </w:r>
        </w:p>
        <w:p w14:paraId="03F86A8F">
          <w:pPr>
            <w:pStyle w:val="32"/>
            <w:tabs>
              <w:tab w:val="right" w:leader="dot" w:pos="9746"/>
            </w:tabs>
            <w:spacing w:line="480" w:lineRule="auto"/>
            <w:rPr>
              <w:sz w:val="28"/>
              <w:szCs w:val="28"/>
            </w:rPr>
          </w:pPr>
          <w:r>
            <w:rPr>
              <w:rFonts w:asciiTheme="minorHAnsi" w:hAnsiTheme="minorHAnsi" w:eastAsiaTheme="minorEastAsia" w:cstheme="minorBidi"/>
              <w:color w:val="auto"/>
              <w:kern w:val="2"/>
              <w:sz w:val="28"/>
              <w:szCs w:val="40"/>
              <w:lang w:val="en-US" w:eastAsia="zh-CN" w:bidi="ar-SA"/>
            </w:rPr>
            <w:fldChar w:fldCharType="begin"/>
          </w:r>
          <w:r>
            <w:rPr>
              <w:rFonts w:asciiTheme="minorHAnsi" w:hAnsiTheme="minorHAnsi" w:eastAsiaTheme="minorEastAsia" w:cstheme="minorBidi"/>
              <w:kern w:val="2"/>
              <w:sz w:val="28"/>
              <w:szCs w:val="40"/>
              <w:lang w:val="en-US" w:eastAsia="zh-CN" w:bidi="ar-SA"/>
            </w:rPr>
            <w:instrText xml:space="preserve"> HYPERLINK \l _Toc21319 </w:instrText>
          </w:r>
          <w:r>
            <w:rPr>
              <w:rFonts w:asciiTheme="minorHAnsi" w:hAnsiTheme="minorHAnsi" w:eastAsiaTheme="minorEastAsia" w:cstheme="minorBidi"/>
              <w:kern w:val="2"/>
              <w:sz w:val="28"/>
              <w:szCs w:val="40"/>
              <w:lang w:val="en-US" w:eastAsia="zh-CN" w:bidi="ar-SA"/>
            </w:rPr>
            <w:fldChar w:fldCharType="separate"/>
          </w:r>
          <w:r>
            <w:rPr>
              <w:rFonts w:hint="eastAsia" w:ascii="宋体" w:hAnsi="宋体" w:eastAsia="宋体" w:cs="宋体"/>
              <w:bCs/>
              <w:sz w:val="28"/>
              <w:szCs w:val="48"/>
            </w:rPr>
            <w:t>第四章  评标办法</w:t>
          </w:r>
          <w:r>
            <w:rPr>
              <w:sz w:val="28"/>
              <w:szCs w:val="28"/>
            </w:rPr>
            <w:tab/>
          </w:r>
          <w:r>
            <w:rPr>
              <w:sz w:val="28"/>
              <w:szCs w:val="28"/>
            </w:rPr>
            <w:fldChar w:fldCharType="begin"/>
          </w:r>
          <w:r>
            <w:rPr>
              <w:sz w:val="28"/>
              <w:szCs w:val="28"/>
            </w:rPr>
            <w:instrText xml:space="preserve"> PAGEREF _Toc21319 \h </w:instrText>
          </w:r>
          <w:r>
            <w:rPr>
              <w:sz w:val="28"/>
              <w:szCs w:val="28"/>
            </w:rPr>
            <w:fldChar w:fldCharType="separate"/>
          </w:r>
          <w:r>
            <w:rPr>
              <w:sz w:val="28"/>
              <w:szCs w:val="28"/>
            </w:rPr>
            <w:t>32</w:t>
          </w:r>
          <w:r>
            <w:rPr>
              <w:sz w:val="28"/>
              <w:szCs w:val="28"/>
            </w:rPr>
            <w:fldChar w:fldCharType="end"/>
          </w:r>
          <w:r>
            <w:rPr>
              <w:rFonts w:asciiTheme="minorHAnsi" w:hAnsiTheme="minorHAnsi" w:eastAsiaTheme="minorEastAsia" w:cstheme="minorBidi"/>
              <w:color w:val="auto"/>
              <w:kern w:val="2"/>
              <w:sz w:val="28"/>
              <w:szCs w:val="40"/>
              <w:lang w:val="en-US" w:eastAsia="zh-CN" w:bidi="ar-SA"/>
            </w:rPr>
            <w:fldChar w:fldCharType="end"/>
          </w:r>
        </w:p>
        <w:p w14:paraId="561918E7">
          <w:pPr>
            <w:pStyle w:val="32"/>
            <w:tabs>
              <w:tab w:val="right" w:leader="dot" w:pos="9746"/>
            </w:tabs>
            <w:spacing w:line="480" w:lineRule="auto"/>
            <w:rPr>
              <w:sz w:val="28"/>
              <w:szCs w:val="28"/>
            </w:rPr>
          </w:pPr>
          <w:r>
            <w:rPr>
              <w:rFonts w:asciiTheme="minorHAnsi" w:hAnsiTheme="minorHAnsi" w:eastAsiaTheme="minorEastAsia" w:cstheme="minorBidi"/>
              <w:color w:val="auto"/>
              <w:kern w:val="2"/>
              <w:sz w:val="28"/>
              <w:szCs w:val="40"/>
              <w:lang w:val="en-US" w:eastAsia="zh-CN" w:bidi="ar-SA"/>
            </w:rPr>
            <w:fldChar w:fldCharType="begin"/>
          </w:r>
          <w:r>
            <w:rPr>
              <w:rFonts w:asciiTheme="minorHAnsi" w:hAnsiTheme="minorHAnsi" w:eastAsiaTheme="minorEastAsia" w:cstheme="minorBidi"/>
              <w:kern w:val="2"/>
              <w:sz w:val="28"/>
              <w:szCs w:val="40"/>
              <w:lang w:val="en-US" w:eastAsia="zh-CN" w:bidi="ar-SA"/>
            </w:rPr>
            <w:instrText xml:space="preserve"> HYPERLINK \l _Toc23047 </w:instrText>
          </w:r>
          <w:r>
            <w:rPr>
              <w:rFonts w:asciiTheme="minorHAnsi" w:hAnsiTheme="minorHAnsi" w:eastAsiaTheme="minorEastAsia" w:cstheme="minorBidi"/>
              <w:kern w:val="2"/>
              <w:sz w:val="28"/>
              <w:szCs w:val="40"/>
              <w:lang w:val="en-US" w:eastAsia="zh-CN" w:bidi="ar-SA"/>
            </w:rPr>
            <w:fldChar w:fldCharType="separate"/>
          </w:r>
          <w:r>
            <w:rPr>
              <w:rFonts w:hint="eastAsia" w:ascii="宋体" w:hAnsi="宋体" w:eastAsia="宋体" w:cs="宋体"/>
              <w:bCs/>
              <w:kern w:val="0"/>
              <w:sz w:val="28"/>
              <w:szCs w:val="48"/>
              <w:lang w:val="en-US" w:eastAsia="zh-CN" w:bidi="ar"/>
            </w:rPr>
            <w:t>第五章  合同主要条款及格式</w:t>
          </w:r>
          <w:r>
            <w:rPr>
              <w:sz w:val="28"/>
              <w:szCs w:val="28"/>
            </w:rPr>
            <w:tab/>
          </w:r>
          <w:r>
            <w:rPr>
              <w:sz w:val="28"/>
              <w:szCs w:val="28"/>
            </w:rPr>
            <w:fldChar w:fldCharType="begin"/>
          </w:r>
          <w:r>
            <w:rPr>
              <w:sz w:val="28"/>
              <w:szCs w:val="28"/>
            </w:rPr>
            <w:instrText xml:space="preserve"> PAGEREF _Toc23047 \h </w:instrText>
          </w:r>
          <w:r>
            <w:rPr>
              <w:sz w:val="28"/>
              <w:szCs w:val="28"/>
            </w:rPr>
            <w:fldChar w:fldCharType="separate"/>
          </w:r>
          <w:r>
            <w:rPr>
              <w:sz w:val="28"/>
              <w:szCs w:val="28"/>
            </w:rPr>
            <w:t>40</w:t>
          </w:r>
          <w:r>
            <w:rPr>
              <w:sz w:val="28"/>
              <w:szCs w:val="28"/>
            </w:rPr>
            <w:fldChar w:fldCharType="end"/>
          </w:r>
          <w:r>
            <w:rPr>
              <w:rFonts w:asciiTheme="minorHAnsi" w:hAnsiTheme="minorHAnsi" w:eastAsiaTheme="minorEastAsia" w:cstheme="minorBidi"/>
              <w:color w:val="auto"/>
              <w:kern w:val="2"/>
              <w:sz w:val="28"/>
              <w:szCs w:val="40"/>
              <w:lang w:val="en-US" w:eastAsia="zh-CN" w:bidi="ar-SA"/>
            </w:rPr>
            <w:fldChar w:fldCharType="end"/>
          </w:r>
        </w:p>
        <w:p w14:paraId="4576A685">
          <w:pPr>
            <w:pStyle w:val="32"/>
            <w:tabs>
              <w:tab w:val="right" w:leader="dot" w:pos="9746"/>
            </w:tabs>
            <w:spacing w:line="480" w:lineRule="auto"/>
            <w:rPr>
              <w:sz w:val="28"/>
              <w:szCs w:val="28"/>
            </w:rPr>
          </w:pPr>
          <w:r>
            <w:rPr>
              <w:rFonts w:asciiTheme="minorHAnsi" w:hAnsiTheme="minorHAnsi" w:eastAsiaTheme="minorEastAsia" w:cstheme="minorBidi"/>
              <w:color w:val="auto"/>
              <w:kern w:val="2"/>
              <w:sz w:val="28"/>
              <w:szCs w:val="40"/>
              <w:lang w:val="en-US" w:eastAsia="zh-CN" w:bidi="ar-SA"/>
            </w:rPr>
            <w:fldChar w:fldCharType="begin"/>
          </w:r>
          <w:r>
            <w:rPr>
              <w:rFonts w:asciiTheme="minorHAnsi" w:hAnsiTheme="minorHAnsi" w:eastAsiaTheme="minorEastAsia" w:cstheme="minorBidi"/>
              <w:kern w:val="2"/>
              <w:sz w:val="28"/>
              <w:szCs w:val="40"/>
              <w:lang w:val="en-US" w:eastAsia="zh-CN" w:bidi="ar-SA"/>
            </w:rPr>
            <w:instrText xml:space="preserve"> HYPERLINK \l _Toc16654 </w:instrText>
          </w:r>
          <w:r>
            <w:rPr>
              <w:rFonts w:asciiTheme="minorHAnsi" w:hAnsiTheme="minorHAnsi" w:eastAsiaTheme="minorEastAsia" w:cstheme="minorBidi"/>
              <w:kern w:val="2"/>
              <w:sz w:val="28"/>
              <w:szCs w:val="40"/>
              <w:lang w:val="en-US" w:eastAsia="zh-CN" w:bidi="ar-SA"/>
            </w:rPr>
            <w:fldChar w:fldCharType="separate"/>
          </w:r>
          <w:r>
            <w:rPr>
              <w:rFonts w:hint="eastAsia" w:ascii="宋体" w:hAnsi="宋体" w:eastAsia="宋体" w:cs="宋体"/>
              <w:bCs/>
              <w:kern w:val="0"/>
              <w:sz w:val="28"/>
              <w:szCs w:val="48"/>
              <w:lang w:val="en-US" w:eastAsia="zh-CN" w:bidi="ar"/>
            </w:rPr>
            <w:t>第六章  电子化投标文件格式</w:t>
          </w:r>
          <w:r>
            <w:rPr>
              <w:sz w:val="28"/>
              <w:szCs w:val="28"/>
            </w:rPr>
            <w:tab/>
          </w:r>
          <w:r>
            <w:rPr>
              <w:sz w:val="28"/>
              <w:szCs w:val="28"/>
            </w:rPr>
            <w:fldChar w:fldCharType="begin"/>
          </w:r>
          <w:r>
            <w:rPr>
              <w:sz w:val="28"/>
              <w:szCs w:val="28"/>
            </w:rPr>
            <w:instrText xml:space="preserve"> PAGEREF _Toc16654 \h </w:instrText>
          </w:r>
          <w:r>
            <w:rPr>
              <w:sz w:val="28"/>
              <w:szCs w:val="28"/>
            </w:rPr>
            <w:fldChar w:fldCharType="separate"/>
          </w:r>
          <w:r>
            <w:rPr>
              <w:sz w:val="28"/>
              <w:szCs w:val="28"/>
            </w:rPr>
            <w:t>42</w:t>
          </w:r>
          <w:r>
            <w:rPr>
              <w:sz w:val="28"/>
              <w:szCs w:val="28"/>
            </w:rPr>
            <w:fldChar w:fldCharType="end"/>
          </w:r>
          <w:r>
            <w:rPr>
              <w:rFonts w:asciiTheme="minorHAnsi" w:hAnsiTheme="minorHAnsi" w:eastAsiaTheme="minorEastAsia" w:cstheme="minorBidi"/>
              <w:color w:val="auto"/>
              <w:kern w:val="2"/>
              <w:sz w:val="28"/>
              <w:szCs w:val="40"/>
              <w:lang w:val="en-US" w:eastAsia="zh-CN" w:bidi="ar-SA"/>
            </w:rPr>
            <w:fldChar w:fldCharType="end"/>
          </w:r>
        </w:p>
        <w:p w14:paraId="2D138D0F">
          <w:pPr>
            <w:spacing w:line="480" w:lineRule="auto"/>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32"/>
              <w:szCs w:val="40"/>
              <w:lang w:val="en-US" w:eastAsia="zh-CN" w:bidi="ar-SA"/>
            </w:rPr>
            <w:fldChar w:fldCharType="end"/>
          </w:r>
        </w:p>
      </w:sdtContent>
    </w:sdt>
    <w:p w14:paraId="2ECC5098">
      <w:pPr>
        <w:rPr>
          <w:rFonts w:asciiTheme="minorHAnsi" w:hAnsiTheme="minorHAnsi" w:eastAsiaTheme="minorEastAsia" w:cstheme="minorBidi"/>
          <w:color w:val="auto"/>
          <w:kern w:val="2"/>
          <w:sz w:val="21"/>
          <w:szCs w:val="24"/>
          <w:lang w:val="en-US" w:eastAsia="zh-CN" w:bidi="ar-SA"/>
        </w:rPr>
      </w:pPr>
    </w:p>
    <w:p w14:paraId="43D70729">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791"/>
          <w:tab w:val="center" w:pos="4933"/>
        </w:tabs>
        <w:spacing w:before="156" w:beforeAutospacing="0" w:after="156" w:afterAutospacing="0" w:line="360" w:lineRule="auto"/>
        <w:jc w:val="left"/>
        <w:rPr>
          <w:color w:val="auto"/>
        </w:rPr>
      </w:pPr>
      <w:r>
        <w:rPr>
          <w:rFonts w:hint="eastAsia"/>
          <w:color w:val="auto"/>
          <w:lang w:eastAsia="zh-CN"/>
        </w:rPr>
        <w:tab/>
      </w:r>
      <w:r>
        <w:rPr>
          <w:rFonts w:hint="eastAsia"/>
          <w:color w:val="auto"/>
          <w:lang w:eastAsia="zh-CN"/>
        </w:rPr>
        <w:tab/>
      </w:r>
      <w:r>
        <w:rPr>
          <w:color w:val="auto"/>
        </w:rPr>
        <w:t> </w:t>
      </w:r>
    </w:p>
    <w:p w14:paraId="0AC1FCA5">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14:paraId="2FE8A17F">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14:paraId="1D0F3160">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14:paraId="6CDD4CCA">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outlineLvl w:val="9"/>
        <w:rPr>
          <w:rFonts w:hint="eastAsia" w:ascii="宋体" w:hAnsi="宋体" w:eastAsia="宋体" w:cs="宋体"/>
          <w:color w:val="auto"/>
          <w:sz w:val="24"/>
          <w:szCs w:val="24"/>
          <w:shd w:val="clear" w:fill="FFFFFF"/>
        </w:rPr>
        <w:sectPr>
          <w:pgSz w:w="11906" w:h="16838"/>
          <w:pgMar w:top="1440" w:right="1080" w:bottom="1440" w:left="1080" w:header="851" w:footer="850" w:gutter="0"/>
          <w:pgNumType w:fmt="decimal" w:start="1"/>
          <w:cols w:space="0" w:num="1"/>
          <w:titlePg/>
          <w:rtlGutter w:val="0"/>
          <w:docGrid w:type="lines" w:linePitch="312" w:charSpace="0"/>
        </w:sectPr>
      </w:pPr>
      <w:bookmarkStart w:id="10" w:name="_Toc24711"/>
    </w:p>
    <w:p w14:paraId="0F583E4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660" w:lineRule="exact"/>
        <w:jc w:val="center"/>
        <w:textAlignment w:val="auto"/>
        <w:outlineLvl w:val="0"/>
        <w:rPr>
          <w:color w:val="auto"/>
          <w:sz w:val="32"/>
          <w:szCs w:val="32"/>
        </w:rPr>
      </w:pPr>
      <w:bookmarkStart w:id="11" w:name="_Toc27979"/>
      <w:r>
        <w:rPr>
          <w:rFonts w:hint="eastAsia" w:ascii="宋体" w:hAnsi="宋体" w:eastAsia="宋体" w:cs="宋体"/>
          <w:color w:val="auto"/>
          <w:sz w:val="32"/>
          <w:szCs w:val="32"/>
          <w:shd w:val="clear" w:fill="FFFFFF"/>
        </w:rPr>
        <w:t> </w:t>
      </w:r>
      <w:r>
        <w:rPr>
          <w:rFonts w:hint="eastAsia" w:ascii="宋体" w:hAnsi="宋体" w:eastAsia="宋体" w:cs="宋体"/>
          <w:b/>
          <w:bCs/>
          <w:color w:val="auto"/>
          <w:sz w:val="32"/>
          <w:szCs w:val="32"/>
        </w:rPr>
        <w:t>第一章  招标公告</w:t>
      </w:r>
      <w:bookmarkEnd w:id="10"/>
      <w:bookmarkEnd w:id="11"/>
    </w:p>
    <w:p w14:paraId="2E380EC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bookmarkStart w:id="12" w:name="OLE_LINK1"/>
      <w:r>
        <w:rPr>
          <w:rFonts w:hint="eastAsia" w:ascii="宋体" w:hAnsi="宋体" w:eastAsia="宋体" w:cs="宋体"/>
          <w:color w:val="auto"/>
          <w:sz w:val="30"/>
          <w:szCs w:val="30"/>
          <w:lang w:eastAsia="zh-CN"/>
        </w:rPr>
        <w:t>河南龙冉工程管理有限公司</w:t>
      </w:r>
      <w:r>
        <w:rPr>
          <w:rFonts w:hint="eastAsia" w:ascii="宋体" w:hAnsi="宋体" w:eastAsia="宋体" w:cs="宋体"/>
          <w:color w:val="auto"/>
          <w:sz w:val="30"/>
          <w:szCs w:val="30"/>
        </w:rPr>
        <w:t>受</w:t>
      </w:r>
      <w:r>
        <w:rPr>
          <w:rFonts w:hint="eastAsia" w:ascii="宋体" w:hAnsi="宋体" w:eastAsia="宋体" w:cs="宋体"/>
          <w:color w:val="auto"/>
          <w:sz w:val="30"/>
          <w:szCs w:val="30"/>
          <w:lang w:eastAsia="zh-CN"/>
        </w:rPr>
        <w:t>卢氏县民政局</w:t>
      </w:r>
      <w:r>
        <w:rPr>
          <w:rFonts w:hint="eastAsia" w:ascii="宋体" w:hAnsi="宋体" w:eastAsia="宋体" w:cs="宋体"/>
          <w:color w:val="auto"/>
          <w:sz w:val="30"/>
          <w:szCs w:val="30"/>
        </w:rPr>
        <w:t>的委托，就</w:t>
      </w:r>
      <w:r>
        <w:rPr>
          <w:rFonts w:hint="eastAsia" w:ascii="宋体" w:hAnsi="宋体" w:eastAsia="宋体" w:cs="宋体"/>
          <w:color w:val="auto"/>
          <w:sz w:val="30"/>
          <w:szCs w:val="30"/>
          <w:lang w:val="en-US" w:eastAsia="zh-CN"/>
        </w:rPr>
        <w:t>卢氏县民政局2024年救助物资采购项目（二次）</w:t>
      </w:r>
      <w:r>
        <w:rPr>
          <w:rFonts w:hint="eastAsia" w:ascii="宋体" w:hAnsi="宋体" w:eastAsia="宋体" w:cs="宋体"/>
          <w:color w:val="auto"/>
          <w:sz w:val="30"/>
          <w:szCs w:val="30"/>
        </w:rPr>
        <w:t>进行公开招标，欢迎符合资格条件的供应商参加。</w:t>
      </w:r>
      <w:bookmarkEnd w:id="12"/>
    </w:p>
    <w:p w14:paraId="383A427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一、项目基本信息</w:t>
      </w:r>
    </w:p>
    <w:p w14:paraId="3749A46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采购人：</w:t>
      </w:r>
      <w:r>
        <w:rPr>
          <w:rFonts w:hint="eastAsia" w:ascii="宋体" w:hAnsi="宋体" w:eastAsia="宋体" w:cs="宋体"/>
          <w:color w:val="auto"/>
          <w:sz w:val="30"/>
          <w:szCs w:val="30"/>
          <w:lang w:eastAsia="zh-CN"/>
        </w:rPr>
        <w:t>卢氏县民政局</w:t>
      </w:r>
    </w:p>
    <w:p w14:paraId="1639AAC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项目名称：</w:t>
      </w:r>
      <w:r>
        <w:rPr>
          <w:rFonts w:hint="eastAsia" w:ascii="宋体" w:hAnsi="宋体" w:eastAsia="宋体" w:cs="宋体"/>
          <w:color w:val="auto"/>
          <w:sz w:val="30"/>
          <w:szCs w:val="30"/>
          <w:lang w:eastAsia="zh-CN"/>
        </w:rPr>
        <w:t>卢氏县民政局2024年救助物资采购项目（</w:t>
      </w:r>
      <w:r>
        <w:rPr>
          <w:rFonts w:hint="eastAsia" w:ascii="宋体" w:hAnsi="宋体" w:eastAsia="宋体" w:cs="宋体"/>
          <w:color w:val="auto"/>
          <w:sz w:val="30"/>
          <w:szCs w:val="30"/>
          <w:lang w:val="en-US" w:eastAsia="zh-CN"/>
        </w:rPr>
        <w:t>二次</w:t>
      </w:r>
      <w:r>
        <w:rPr>
          <w:rFonts w:hint="eastAsia" w:ascii="宋体" w:hAnsi="宋体" w:eastAsia="宋体" w:cs="宋体"/>
          <w:color w:val="auto"/>
          <w:sz w:val="30"/>
          <w:szCs w:val="30"/>
          <w:lang w:eastAsia="zh-CN"/>
        </w:rPr>
        <w:t>）</w:t>
      </w:r>
    </w:p>
    <w:p w14:paraId="0BFBDB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项目编号</w:t>
      </w:r>
      <w:r>
        <w:rPr>
          <w:rFonts w:hint="eastAsia" w:ascii="宋体" w:hAnsi="宋体" w:eastAsia="宋体" w:cs="宋体"/>
          <w:color w:val="auto"/>
          <w:sz w:val="30"/>
          <w:szCs w:val="30"/>
          <w:lang w:eastAsia="zh-CN"/>
        </w:rPr>
        <w:t>：三卢公开采购-2024-82、LSGZ[2024]299-ZC219</w:t>
      </w:r>
    </w:p>
    <w:p w14:paraId="20E6B9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标段划分：本项目为</w:t>
      </w:r>
      <w:r>
        <w:rPr>
          <w:rFonts w:hint="eastAsia" w:ascii="宋体" w:hAnsi="宋体" w:eastAsia="宋体" w:cs="宋体"/>
          <w:color w:val="auto"/>
          <w:sz w:val="30"/>
          <w:szCs w:val="30"/>
          <w:lang w:val="en-US" w:eastAsia="zh-CN"/>
        </w:rPr>
        <w:t>一</w:t>
      </w:r>
      <w:r>
        <w:rPr>
          <w:rFonts w:hint="eastAsia" w:ascii="宋体" w:hAnsi="宋体" w:eastAsia="宋体" w:cs="宋体"/>
          <w:color w:val="auto"/>
          <w:sz w:val="30"/>
          <w:szCs w:val="30"/>
        </w:rPr>
        <w:t>个标段</w:t>
      </w:r>
    </w:p>
    <w:p w14:paraId="676103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5</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采购内容：</w:t>
      </w:r>
      <w:bookmarkStart w:id="13" w:name="OLE_LINK16"/>
      <w:bookmarkStart w:id="14" w:name="OLE_LINK2"/>
      <w:r>
        <w:rPr>
          <w:rFonts w:hint="eastAsia" w:ascii="宋体" w:hAnsi="宋体" w:eastAsia="宋体" w:cs="宋体"/>
          <w:color w:val="auto"/>
          <w:sz w:val="30"/>
          <w:szCs w:val="30"/>
        </w:rPr>
        <w:t>采购棉被，面粉</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大米（详见招标文件第三章采购需求）</w:t>
      </w:r>
      <w:bookmarkEnd w:id="13"/>
    </w:p>
    <w:bookmarkEnd w:id="14"/>
    <w:p w14:paraId="0333D7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6</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项目总预算金额：</w:t>
      </w:r>
      <w:bookmarkStart w:id="15" w:name="OLE_LINK15"/>
      <w:r>
        <w:rPr>
          <w:rFonts w:hint="default" w:ascii="宋体" w:hAnsi="宋体" w:eastAsia="宋体" w:cs="宋体"/>
          <w:color w:val="auto"/>
          <w:sz w:val="30"/>
          <w:szCs w:val="30"/>
          <w:lang w:val="en-US" w:eastAsia="zh-CN"/>
        </w:rPr>
        <w:t>¥</w:t>
      </w:r>
      <w:r>
        <w:rPr>
          <w:rFonts w:hint="eastAsia" w:ascii="宋体" w:hAnsi="宋体" w:eastAsia="宋体" w:cs="宋体"/>
          <w:color w:val="auto"/>
          <w:sz w:val="30"/>
          <w:szCs w:val="30"/>
          <w:lang w:val="en-US" w:eastAsia="zh-CN"/>
        </w:rPr>
        <w:t>2095000.00元</w:t>
      </w:r>
      <w:bookmarkEnd w:id="15"/>
    </w:p>
    <w:p w14:paraId="2617C6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7</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资金来源：</w:t>
      </w:r>
      <w:r>
        <w:rPr>
          <w:rFonts w:hint="eastAsia" w:ascii="宋体" w:hAnsi="宋体" w:eastAsia="宋体" w:cs="宋体"/>
          <w:color w:val="auto"/>
          <w:sz w:val="30"/>
          <w:szCs w:val="30"/>
          <w:lang w:val="en-US" w:eastAsia="zh-CN"/>
        </w:rPr>
        <w:t>财政</w:t>
      </w:r>
      <w:r>
        <w:rPr>
          <w:rFonts w:hint="eastAsia" w:ascii="宋体" w:hAnsi="宋体" w:eastAsia="宋体" w:cs="宋体"/>
          <w:color w:val="auto"/>
          <w:sz w:val="30"/>
          <w:szCs w:val="30"/>
        </w:rPr>
        <w:t>资金，且已落实</w:t>
      </w:r>
    </w:p>
    <w:p w14:paraId="3C6BF77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8</w:t>
      </w:r>
      <w:r>
        <w:rPr>
          <w:rFonts w:hint="eastAsia" w:ascii="宋体" w:hAnsi="宋体" w:eastAsia="宋体" w:cs="宋体"/>
          <w:color w:val="auto"/>
          <w:sz w:val="30"/>
          <w:szCs w:val="30"/>
          <w:lang w:eastAsia="zh-CN"/>
        </w:rPr>
        <w:t>、</w:t>
      </w:r>
      <w:bookmarkStart w:id="16" w:name="OLE_LINK5"/>
      <w:r>
        <w:rPr>
          <w:rFonts w:hint="eastAsia" w:ascii="宋体" w:hAnsi="宋体" w:eastAsia="宋体" w:cs="宋体"/>
          <w:color w:val="auto"/>
          <w:sz w:val="30"/>
          <w:szCs w:val="30"/>
          <w:lang w:val="en-US" w:eastAsia="zh-CN"/>
        </w:rPr>
        <w:t>供货期</w:t>
      </w:r>
      <w:bookmarkEnd w:id="16"/>
      <w:r>
        <w:rPr>
          <w:rFonts w:hint="eastAsia" w:ascii="宋体" w:hAnsi="宋体" w:eastAsia="宋体" w:cs="宋体"/>
          <w:color w:val="auto"/>
          <w:sz w:val="30"/>
          <w:szCs w:val="30"/>
          <w:lang w:val="en-US" w:eastAsia="zh-CN"/>
        </w:rPr>
        <w:t>：</w:t>
      </w:r>
      <w:bookmarkStart w:id="17" w:name="OLE_LINK3"/>
      <w:bookmarkStart w:id="18" w:name="OLE_LINK8"/>
      <w:r>
        <w:rPr>
          <w:rFonts w:hint="eastAsia" w:ascii="宋体" w:hAnsi="宋体" w:eastAsia="宋体" w:cs="宋体"/>
          <w:color w:val="auto"/>
          <w:sz w:val="30"/>
          <w:szCs w:val="30"/>
          <w:lang w:val="en-US" w:eastAsia="zh-CN"/>
        </w:rPr>
        <w:t>合同签订后5日历天内完成</w:t>
      </w:r>
      <w:bookmarkEnd w:id="17"/>
      <w:r>
        <w:rPr>
          <w:rFonts w:hint="eastAsia" w:ascii="宋体" w:hAnsi="宋体" w:eastAsia="宋体" w:cs="宋体"/>
          <w:color w:val="auto"/>
          <w:sz w:val="30"/>
          <w:szCs w:val="30"/>
          <w:lang w:val="en-US" w:eastAsia="zh-CN"/>
        </w:rPr>
        <w:t>；</w:t>
      </w:r>
      <w:bookmarkEnd w:id="18"/>
    </w:p>
    <w:p w14:paraId="5503EF0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default" w:ascii="宋体" w:hAnsi="宋体" w:eastAsia="宋体" w:cs="宋体"/>
          <w:color w:val="auto"/>
          <w:sz w:val="30"/>
          <w:szCs w:val="30"/>
          <w:lang w:val="en-US"/>
        </w:rPr>
      </w:pPr>
      <w:r>
        <w:rPr>
          <w:rFonts w:hint="eastAsia" w:ascii="宋体" w:hAnsi="宋体" w:eastAsia="宋体" w:cs="宋体"/>
          <w:color w:val="auto"/>
          <w:sz w:val="30"/>
          <w:szCs w:val="30"/>
        </w:rPr>
        <w:t>9</w:t>
      </w:r>
      <w:r>
        <w:rPr>
          <w:rFonts w:hint="eastAsia" w:ascii="宋体" w:hAnsi="宋体" w:eastAsia="宋体" w:cs="宋体"/>
          <w:color w:val="auto"/>
          <w:sz w:val="30"/>
          <w:szCs w:val="30"/>
          <w:lang w:eastAsia="zh-CN"/>
        </w:rPr>
        <w:t>、</w:t>
      </w:r>
      <w:bookmarkStart w:id="19" w:name="OLE_LINK10"/>
      <w:r>
        <w:rPr>
          <w:rFonts w:hint="eastAsia" w:ascii="宋体" w:hAnsi="宋体" w:eastAsia="宋体" w:cs="宋体"/>
          <w:color w:val="auto"/>
          <w:sz w:val="30"/>
          <w:szCs w:val="30"/>
          <w:lang w:val="en-US" w:eastAsia="zh-CN"/>
        </w:rPr>
        <w:t>供货</w:t>
      </w:r>
      <w:r>
        <w:rPr>
          <w:rFonts w:hint="eastAsia" w:ascii="宋体" w:hAnsi="宋体" w:eastAsia="宋体" w:cs="宋体"/>
          <w:color w:val="auto"/>
          <w:sz w:val="30"/>
          <w:szCs w:val="30"/>
        </w:rPr>
        <w:t>地点：</w:t>
      </w:r>
      <w:bookmarkStart w:id="20" w:name="OLE_LINK9"/>
      <w:r>
        <w:rPr>
          <w:rFonts w:hint="eastAsia" w:ascii="宋体" w:hAnsi="宋体" w:eastAsia="宋体" w:cs="宋体"/>
          <w:color w:val="auto"/>
          <w:sz w:val="30"/>
          <w:szCs w:val="30"/>
          <w:lang w:val="en-US" w:eastAsia="zh-CN"/>
        </w:rPr>
        <w:t>业主指定地点</w:t>
      </w:r>
    </w:p>
    <w:bookmarkEnd w:id="19"/>
    <w:bookmarkEnd w:id="20"/>
    <w:p w14:paraId="7B6634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10</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质量要求：符合国家及行业标准并满足采购人使用要求</w:t>
      </w:r>
    </w:p>
    <w:p w14:paraId="2D4CF7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是否接受进口产品：否</w:t>
      </w:r>
    </w:p>
    <w:p w14:paraId="181D35C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12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采购项目需要落实的政府采购政策：本项目执行促进中小型企业发展政策（残疾人福利性企业、监狱企业视同小微企业）、优先采购节能环保产品等政府采购政策。</w:t>
      </w:r>
    </w:p>
    <w:p w14:paraId="3A70A9E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二、供应商资格要求</w:t>
      </w:r>
    </w:p>
    <w:p w14:paraId="7352F5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符合《中华人民共和国政府采购法》第二十二条规定并同时具备下列条件：</w:t>
      </w:r>
    </w:p>
    <w:p w14:paraId="6C34698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具有在中华人民共和国境内注册的能够独立承担民事责任的独立法人；</w:t>
      </w:r>
    </w:p>
    <w:p w14:paraId="5AD583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具有有效的营业执照、税务登记证、组织机构代码证(或“三证合一”的营业执照)；</w:t>
      </w:r>
    </w:p>
    <w:p w14:paraId="3D7908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rPr>
        <w:t>具有履行本项目采购内容所必须的设备和专业技术服务能力；(提供证明材料或承诺书)</w:t>
      </w:r>
      <w:r>
        <w:rPr>
          <w:rFonts w:hint="eastAsia" w:ascii="宋体" w:hAnsi="宋体" w:eastAsia="宋体" w:cs="宋体"/>
          <w:color w:val="auto"/>
          <w:sz w:val="30"/>
          <w:szCs w:val="30"/>
          <w:highlight w:val="none"/>
          <w:lang w:eastAsia="zh-CN"/>
        </w:rPr>
        <w:t>；</w:t>
      </w:r>
    </w:p>
    <w:p w14:paraId="28A963A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依法缴纳税收（提供2024年以来任意</w:t>
      </w:r>
      <w:r>
        <w:rPr>
          <w:rFonts w:hint="eastAsia" w:ascii="宋体" w:hAnsi="宋体" w:eastAsia="宋体" w:cs="宋体"/>
          <w:color w:val="auto"/>
          <w:sz w:val="30"/>
          <w:szCs w:val="30"/>
          <w:highlight w:val="none"/>
          <w:lang w:val="en-US" w:eastAsia="zh-CN"/>
        </w:rPr>
        <w:t>一</w:t>
      </w:r>
      <w:r>
        <w:rPr>
          <w:rFonts w:hint="eastAsia" w:ascii="宋体" w:hAnsi="宋体" w:eastAsia="宋体" w:cs="宋体"/>
          <w:color w:val="auto"/>
          <w:sz w:val="30"/>
          <w:szCs w:val="30"/>
          <w:highlight w:val="none"/>
        </w:rPr>
        <w:t>个月企业依法缴纳税收证明材料）和缴纳社会保障资金（提供2024年以来任意</w:t>
      </w:r>
      <w:r>
        <w:rPr>
          <w:rFonts w:hint="eastAsia" w:ascii="宋体" w:hAnsi="宋体" w:eastAsia="宋体" w:cs="宋体"/>
          <w:color w:val="auto"/>
          <w:sz w:val="30"/>
          <w:szCs w:val="30"/>
          <w:highlight w:val="none"/>
          <w:lang w:val="en-US" w:eastAsia="zh-CN"/>
        </w:rPr>
        <w:t>一</w:t>
      </w:r>
      <w:r>
        <w:rPr>
          <w:rFonts w:hint="eastAsia" w:ascii="宋体" w:hAnsi="宋体" w:eastAsia="宋体" w:cs="宋体"/>
          <w:color w:val="auto"/>
          <w:sz w:val="30"/>
          <w:szCs w:val="30"/>
          <w:highlight w:val="none"/>
        </w:rPr>
        <w:t>个月拟派项目负责人依法缴纳社保证明材料）； </w:t>
      </w:r>
    </w:p>
    <w:p w14:paraId="1649B0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参加政府采购活动前3年内无行贿犯罪记录，（开标时提供《中国裁判文书网》查询结果网页截图或企业自行承诺的无行贿犯罪承诺书，查询&lt;承诺&gt;对象为“企业，法定代表人，项目负责人”）；</w:t>
      </w:r>
    </w:p>
    <w:p w14:paraId="1F8D10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参加政府采购活动前3年内无商业贿赂、不正当竞争行为、骗取中标、严重违约及重大工程质量等问题（供应商须自行出具承诺书）；</w:t>
      </w:r>
    </w:p>
    <w:p w14:paraId="797BC87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lang w:eastAsia="zh-CN"/>
        </w:rPr>
        <w:t>、</w:t>
      </w:r>
      <w:r>
        <w:rPr>
          <w:rFonts w:hint="eastAsia" w:ascii="宋体" w:hAnsi="宋体" w:cs="宋体"/>
          <w:color w:val="auto"/>
          <w:sz w:val="30"/>
          <w:szCs w:val="30"/>
          <w:lang w:val="zh-TW" w:eastAsia="zh-TW"/>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w:t>
      </w:r>
      <w:r>
        <w:rPr>
          <w:rFonts w:hint="eastAsia" w:ascii="宋体" w:hAnsi="宋体" w:cs="宋体"/>
          <w:color w:val="auto"/>
          <w:sz w:val="30"/>
          <w:szCs w:val="30"/>
        </w:rPr>
        <w:t>(注：査询时间必须是公告发布以后开标时间以前并提供网站查询网页截图，查询结果清晰可见)</w:t>
      </w:r>
      <w:r>
        <w:rPr>
          <w:rFonts w:hint="eastAsia" w:ascii="宋体" w:hAnsi="宋体" w:eastAsia="宋体" w:cs="宋体"/>
          <w:color w:val="auto"/>
          <w:sz w:val="30"/>
          <w:szCs w:val="30"/>
        </w:rPr>
        <w:t>；</w:t>
      </w:r>
    </w:p>
    <w:p w14:paraId="54C1AA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8、</w:t>
      </w:r>
      <w:r>
        <w:rPr>
          <w:rFonts w:hint="eastAsia" w:ascii="宋体" w:hAnsi="宋体" w:eastAsia="宋体" w:cs="宋体"/>
          <w:color w:val="auto"/>
          <w:sz w:val="30"/>
          <w:szCs w:val="30"/>
        </w:rPr>
        <w:t>本次</w:t>
      </w:r>
      <w:r>
        <w:rPr>
          <w:rFonts w:hint="eastAsia" w:ascii="宋体" w:hAnsi="宋体" w:eastAsia="宋体" w:cs="宋体"/>
          <w:color w:val="auto"/>
          <w:sz w:val="30"/>
          <w:szCs w:val="30"/>
          <w:lang w:eastAsia="zh-CN"/>
        </w:rPr>
        <w:t>招标</w:t>
      </w:r>
      <w:r>
        <w:rPr>
          <w:rFonts w:hint="eastAsia" w:ascii="宋体" w:hAnsi="宋体" w:eastAsia="宋体" w:cs="宋体"/>
          <w:color w:val="auto"/>
          <w:sz w:val="30"/>
          <w:szCs w:val="30"/>
        </w:rPr>
        <w:t>实行资格后审</w:t>
      </w:r>
      <w:r>
        <w:rPr>
          <w:rFonts w:hint="eastAsia" w:ascii="宋体" w:hAnsi="宋体" w:eastAsia="宋体" w:cs="宋体"/>
          <w:color w:val="auto"/>
          <w:sz w:val="30"/>
          <w:szCs w:val="30"/>
          <w:lang w:eastAsia="zh-CN"/>
        </w:rPr>
        <w:t>；</w:t>
      </w:r>
    </w:p>
    <w:p w14:paraId="1E5F36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9、</w:t>
      </w:r>
      <w:r>
        <w:rPr>
          <w:rFonts w:hint="eastAsia" w:ascii="宋体" w:hAnsi="宋体" w:eastAsia="宋体" w:cs="宋体"/>
          <w:color w:val="auto"/>
          <w:sz w:val="30"/>
          <w:szCs w:val="30"/>
        </w:rPr>
        <w:t>本项目不接受联合体投标</w:t>
      </w:r>
      <w:r>
        <w:rPr>
          <w:rFonts w:hint="eastAsia" w:ascii="宋体" w:hAnsi="宋体" w:eastAsia="宋体" w:cs="宋体"/>
          <w:color w:val="auto"/>
          <w:sz w:val="30"/>
          <w:szCs w:val="30"/>
          <w:lang w:eastAsia="zh-CN"/>
        </w:rPr>
        <w:t>。</w:t>
      </w:r>
    </w:p>
    <w:p w14:paraId="41C66C1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注：被列入失信被执行人及重大税收违法失信主体的企业做无效标处理；采购人或采购代理机构有权对供应商信用记录进行甄别和复查。</w:t>
      </w:r>
    </w:p>
    <w:p w14:paraId="22301A4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三、获取招标文件</w:t>
      </w:r>
    </w:p>
    <w:p w14:paraId="3AD46EA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时间：2024年</w:t>
      </w:r>
      <w:r>
        <w:rPr>
          <w:rFonts w:hint="eastAsia" w:ascii="宋体" w:hAnsi="宋体" w:eastAsia="宋体" w:cs="宋体"/>
          <w:color w:val="auto"/>
          <w:sz w:val="30"/>
          <w:szCs w:val="30"/>
          <w:lang w:val="en-US" w:eastAsia="zh-CN"/>
        </w:rPr>
        <w:t>12</w:t>
      </w:r>
      <w:r>
        <w:rPr>
          <w:rFonts w:hint="eastAsia" w:ascii="宋体" w:hAnsi="宋体" w:eastAsia="宋体" w:cs="宋体"/>
          <w:color w:val="auto"/>
          <w:sz w:val="30"/>
          <w:szCs w:val="30"/>
        </w:rPr>
        <w:t>月</w:t>
      </w:r>
      <w:r>
        <w:rPr>
          <w:rFonts w:hint="eastAsia" w:ascii="宋体" w:hAnsi="宋体" w:eastAsia="宋体" w:cs="宋体"/>
          <w:color w:val="auto"/>
          <w:sz w:val="30"/>
          <w:szCs w:val="30"/>
          <w:lang w:val="en-US" w:eastAsia="zh-CN"/>
        </w:rPr>
        <w:t>04</w:t>
      </w:r>
      <w:r>
        <w:rPr>
          <w:rFonts w:hint="eastAsia" w:ascii="宋体" w:hAnsi="宋体" w:eastAsia="宋体" w:cs="宋体"/>
          <w:color w:val="auto"/>
          <w:sz w:val="30"/>
          <w:szCs w:val="30"/>
        </w:rPr>
        <w:t>日08时00分至</w:t>
      </w:r>
      <w:bookmarkStart w:id="21" w:name="OLE_LINK20"/>
      <w:r>
        <w:rPr>
          <w:rFonts w:hint="eastAsia" w:ascii="宋体" w:hAnsi="宋体" w:eastAsia="宋体" w:cs="宋体"/>
          <w:color w:val="auto"/>
          <w:sz w:val="30"/>
          <w:szCs w:val="30"/>
        </w:rPr>
        <w:t>2024年</w:t>
      </w:r>
      <w:r>
        <w:rPr>
          <w:rFonts w:hint="eastAsia" w:ascii="宋体" w:hAnsi="宋体" w:eastAsia="宋体" w:cs="宋体"/>
          <w:color w:val="auto"/>
          <w:sz w:val="30"/>
          <w:szCs w:val="30"/>
          <w:lang w:val="en-US" w:eastAsia="zh-CN"/>
        </w:rPr>
        <w:t>12</w:t>
      </w:r>
      <w:r>
        <w:rPr>
          <w:rFonts w:hint="eastAsia" w:ascii="宋体" w:hAnsi="宋体" w:eastAsia="宋体" w:cs="宋体"/>
          <w:color w:val="auto"/>
          <w:sz w:val="30"/>
          <w:szCs w:val="30"/>
        </w:rPr>
        <w:t>月</w:t>
      </w:r>
      <w:r>
        <w:rPr>
          <w:rFonts w:hint="eastAsia" w:ascii="宋体" w:hAnsi="宋体" w:eastAsia="宋体" w:cs="宋体"/>
          <w:color w:val="auto"/>
          <w:sz w:val="30"/>
          <w:szCs w:val="30"/>
          <w:lang w:val="en-US" w:eastAsia="zh-CN"/>
        </w:rPr>
        <w:t>24</w:t>
      </w:r>
      <w:r>
        <w:rPr>
          <w:rFonts w:hint="eastAsia" w:ascii="宋体" w:hAnsi="宋体" w:eastAsia="宋体" w:cs="宋体"/>
          <w:color w:val="auto"/>
          <w:sz w:val="30"/>
          <w:szCs w:val="30"/>
        </w:rPr>
        <w:t>日08时40分</w:t>
      </w:r>
      <w:bookmarkEnd w:id="21"/>
      <w:r>
        <w:rPr>
          <w:rFonts w:hint="eastAsia" w:ascii="宋体" w:hAnsi="宋体" w:eastAsia="宋体" w:cs="宋体"/>
          <w:color w:val="auto"/>
          <w:sz w:val="30"/>
          <w:szCs w:val="30"/>
        </w:rPr>
        <w:t>；</w:t>
      </w:r>
    </w:p>
    <w:p w14:paraId="1654550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地点：三门峡市公共资源交易中心网下载；</w:t>
      </w:r>
    </w:p>
    <w:p w14:paraId="723FB91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before="0" w:beforeAutospacing="0" w:after="0" w:afterAutospacing="0" w:line="66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方式：本项目没有报名环节，供应商凭CA数字证书通过三门峡市公共资源交易中心网（网址：</w:t>
      </w:r>
      <w:r>
        <w:rPr>
          <w:rFonts w:hint="eastAsia" w:ascii="宋体" w:hAnsi="宋体" w:eastAsia="宋体" w:cs="宋体"/>
          <w:color w:val="auto"/>
          <w:sz w:val="30"/>
          <w:szCs w:val="30"/>
          <w:lang w:val="en-US" w:eastAsia="zh-CN"/>
        </w:rPr>
        <w:t>http://gzjy.smx.gov.cn/</w:t>
      </w:r>
      <w:r>
        <w:rPr>
          <w:rFonts w:hint="eastAsia" w:ascii="宋体" w:hAnsi="宋体" w:eastAsia="宋体" w:cs="宋体"/>
          <w:color w:val="auto"/>
          <w:sz w:val="30"/>
          <w:szCs w:val="30"/>
        </w:rPr>
        <w:t>），点击交易平台选择“市场主体登录”，在所参与项目右侧点击参与投标，即可直接下载本项目招标文件（招标文件包含采购内容、技术参数要求等投标所需一切内容）。</w:t>
      </w:r>
    </w:p>
    <w:p w14:paraId="147582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before="0" w:beforeAutospacing="0" w:after="0" w:afterAutospacing="0" w:line="660" w:lineRule="exact"/>
        <w:ind w:left="0" w:firstLine="601"/>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办理CA证书：</w:t>
      </w:r>
      <w:r>
        <w:rPr>
          <w:rFonts w:hint="eastAsia" w:ascii="宋体" w:hAnsi="宋体" w:eastAsia="宋体" w:cs="宋体"/>
          <w:color w:val="auto"/>
          <w:sz w:val="30"/>
          <w:szCs w:val="30"/>
          <w:lang w:val="en-US" w:eastAsia="zh-CN"/>
        </w:rPr>
        <w:fldChar w:fldCharType="begin"/>
      </w:r>
      <w:r>
        <w:rPr>
          <w:rFonts w:hint="eastAsia" w:ascii="宋体" w:hAnsi="宋体" w:eastAsia="宋体" w:cs="宋体"/>
          <w:color w:val="auto"/>
          <w:sz w:val="30"/>
          <w:szCs w:val="30"/>
          <w:lang w:val="en-US" w:eastAsia="zh-CN"/>
        </w:rPr>
        <w:instrText xml:space="preserve"> HYPERLINK "http://gzjy.smx.gov.cn/bzzx/008001/20231102/4defc9b5-408e-47f2-9e9f-1f376a06ee1f.html" </w:instrText>
      </w:r>
      <w:r>
        <w:rPr>
          <w:rFonts w:hint="eastAsia" w:ascii="宋体" w:hAnsi="宋体" w:eastAsia="宋体" w:cs="宋体"/>
          <w:color w:val="auto"/>
          <w:sz w:val="30"/>
          <w:szCs w:val="30"/>
          <w:lang w:val="en-US" w:eastAsia="zh-CN"/>
        </w:rPr>
        <w:fldChar w:fldCharType="separate"/>
      </w:r>
      <w:r>
        <w:rPr>
          <w:rFonts w:hint="eastAsia" w:ascii="宋体" w:hAnsi="宋体" w:eastAsia="宋体" w:cs="宋体"/>
          <w:color w:val="auto"/>
          <w:sz w:val="30"/>
          <w:szCs w:val="30"/>
          <w:lang w:val="en-US" w:eastAsia="zh-CN"/>
        </w:rPr>
        <w:t>http://gzjy.smx.gov.cn/bzzx/008001/20231102/4defc9b5-408e-47f2-9e9f-1f376a06ee1f.html</w:t>
      </w:r>
      <w:r>
        <w:rPr>
          <w:rFonts w:hint="eastAsia" w:ascii="宋体" w:hAnsi="宋体" w:eastAsia="宋体" w:cs="宋体"/>
          <w:color w:val="auto"/>
          <w:sz w:val="30"/>
          <w:szCs w:val="30"/>
          <w:lang w:val="en-US" w:eastAsia="zh-CN"/>
        </w:rPr>
        <w:fldChar w:fldCharType="end"/>
      </w:r>
    </w:p>
    <w:p w14:paraId="08BD485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before="0" w:beforeAutospacing="0" w:after="0" w:afterAutospacing="0" w:line="66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注：本项目为不见面开标项目。开标当日，供应商无需到开标现场参加开标会议，供应商应当在投标截止时间前，登陆不见面开标大厅选择登陆三门峡市公共资源电子招投标系统进行登陆（网址为</w:t>
      </w:r>
      <w:r>
        <w:rPr>
          <w:rFonts w:hint="eastAsia" w:ascii="宋体" w:hAnsi="宋体" w:eastAsia="宋体" w:cs="宋体"/>
          <w:color w:val="auto"/>
          <w:sz w:val="30"/>
          <w:szCs w:val="30"/>
          <w:lang w:val="en-US" w:eastAsia="zh-CN"/>
        </w:rPr>
        <w:t>http://120.194.249.36:10094/BidOpening/bidopeninghallaction/hall/login</w:t>
      </w:r>
      <w:r>
        <w:rPr>
          <w:rFonts w:hint="eastAsia" w:ascii="宋体" w:hAnsi="宋体" w:eastAsia="宋体" w:cs="宋体"/>
          <w:color w:val="auto"/>
          <w:sz w:val="30"/>
          <w:szCs w:val="30"/>
        </w:rPr>
        <w:t>）,在线准时参加开标活动并进行投标文件解密等。每位供应商的解密时间为开标时间起30分钟内完成。因供应商原因未能解密、解密失败或解密超时的将被拒绝。</w:t>
      </w:r>
    </w:p>
    <w:p w14:paraId="16C0F5D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before="0" w:beforeAutospacing="0" w:after="0" w:afterAutospacing="0" w:line="66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4</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本项目为全电子招标，不再收取招标文件费用。</w:t>
      </w:r>
    </w:p>
    <w:p w14:paraId="342E8D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四、投标资料的提交</w:t>
      </w:r>
    </w:p>
    <w:p w14:paraId="6BD4EE7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项目实行资格后审，审查内容以投标截止时间前在三门峡市公共资源交易平台上传的投标文件为准。规定时间外上传或更改的信息不作为评标依据。投标人对投标文件信息的真实性、有效性、清晰可辩性负责。投标人应及时完善主体库。</w:t>
      </w:r>
    </w:p>
    <w:p w14:paraId="7258236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五、投标保证金</w:t>
      </w:r>
    </w:p>
    <w:p w14:paraId="5045F2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按照《河南省财政厅关于优化政府采购营商环境有关问题的通知》（豫财购[2019]4号文）的要求本项目不再收取投标保证金。</w:t>
      </w:r>
    </w:p>
    <w:p w14:paraId="5614041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六、投标文件的递交截止时间（开标时间）及开标地点</w:t>
      </w:r>
    </w:p>
    <w:p w14:paraId="547639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投标文件递交截止时间（开标时间）：2024年12月24日08时40分（北京时间）</w:t>
      </w:r>
    </w:p>
    <w:p w14:paraId="4EA17C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开标地点：卢氏县公共资源交易中心四楼第</w:t>
      </w:r>
      <w:r>
        <w:rPr>
          <w:rFonts w:hint="eastAsia" w:ascii="宋体" w:hAnsi="宋体" w:eastAsia="宋体" w:cs="宋体"/>
          <w:color w:val="auto"/>
          <w:sz w:val="30"/>
          <w:szCs w:val="30"/>
          <w:lang w:val="en-US" w:eastAsia="zh-CN"/>
        </w:rPr>
        <w:t>一</w:t>
      </w:r>
      <w:r>
        <w:rPr>
          <w:rFonts w:hint="eastAsia" w:ascii="宋体" w:hAnsi="宋体" w:eastAsia="宋体" w:cs="宋体"/>
          <w:color w:val="auto"/>
          <w:sz w:val="30"/>
          <w:szCs w:val="30"/>
        </w:rPr>
        <w:t>开标室；</w:t>
      </w:r>
    </w:p>
    <w:p w14:paraId="56DEE5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评标地点：卢氏县公共资源交易中心二楼第</w:t>
      </w:r>
      <w:r>
        <w:rPr>
          <w:rFonts w:hint="eastAsia" w:ascii="宋体" w:hAnsi="宋体" w:eastAsia="宋体" w:cs="宋体"/>
          <w:color w:val="auto"/>
          <w:sz w:val="30"/>
          <w:szCs w:val="30"/>
          <w:lang w:val="en-US" w:eastAsia="zh-CN"/>
        </w:rPr>
        <w:t>一</w:t>
      </w:r>
      <w:r>
        <w:rPr>
          <w:rFonts w:hint="eastAsia" w:ascii="宋体" w:hAnsi="宋体" w:eastAsia="宋体" w:cs="宋体"/>
          <w:color w:val="auto"/>
          <w:sz w:val="30"/>
          <w:szCs w:val="30"/>
        </w:rPr>
        <w:t>评标室；</w:t>
      </w:r>
    </w:p>
    <w:p w14:paraId="37C4A27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七、其他事项</w:t>
      </w:r>
    </w:p>
    <w:p w14:paraId="34EE60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1、响应人应仔细阅读操作手册，在本公告中要求的截止时间前完成磋商文件下载工作。因响应人操作不当问题造成的无法下载磋商文件等一切后果，由响应人自行承担；</w:t>
      </w:r>
    </w:p>
    <w:p w14:paraId="4FF4BA0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2、响应人递交的</w:t>
      </w:r>
      <w:r>
        <w:rPr>
          <w:rFonts w:hint="eastAsia" w:ascii="宋体" w:hAnsi="宋体" w:eastAsia="宋体" w:cs="宋体"/>
          <w:color w:val="auto"/>
          <w:sz w:val="30"/>
          <w:szCs w:val="30"/>
          <w:lang w:eastAsia="zh-CN"/>
        </w:rPr>
        <w:t>投标文件</w:t>
      </w:r>
      <w:r>
        <w:rPr>
          <w:rFonts w:hint="eastAsia" w:ascii="宋体" w:hAnsi="宋体" w:eastAsia="宋体" w:cs="宋体"/>
          <w:color w:val="auto"/>
          <w:sz w:val="30"/>
          <w:szCs w:val="30"/>
        </w:rPr>
        <w:t>不论中标与否均不予退还；</w:t>
      </w:r>
    </w:p>
    <w:p w14:paraId="5BA2D2A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3、采购人不组织投标单位踏勘现场。</w:t>
      </w:r>
    </w:p>
    <w:p w14:paraId="61BF200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温馨提示：本项目为电子化、无纸化交易项目，开标时不再接受任何纸质资料，为保证您能开标成功，请需仔细阅读磋商文件和三门峡市公共资源交易中心官网业务办理指南。</w:t>
      </w:r>
    </w:p>
    <w:p w14:paraId="64635C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八、发布公告的媒介</w:t>
      </w:r>
    </w:p>
    <w:p w14:paraId="2701B7B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本次招标公告同时在</w:t>
      </w:r>
      <w:r>
        <w:rPr>
          <w:rFonts w:hint="eastAsia" w:ascii="宋体" w:hAnsi="宋体" w:eastAsia="宋体" w:cs="宋体"/>
          <w:bCs/>
          <w:sz w:val="30"/>
          <w:szCs w:val="30"/>
          <w:lang w:val="en-US" w:eastAsia="zh-CN"/>
        </w:rPr>
        <w:t>《中国招标投标公共服务平台》、《河南省政府采购网》</w:t>
      </w:r>
      <w:r>
        <w:rPr>
          <w:rFonts w:hint="eastAsia"/>
          <w:bCs/>
          <w:color w:val="auto"/>
          <w:sz w:val="30"/>
          <w:szCs w:val="30"/>
          <w:highlight w:val="none"/>
          <w:lang w:val="en-US" w:eastAsia="zh-CN"/>
        </w:rPr>
        <w:t>、《三门峡市公共资源交易中心网》</w:t>
      </w:r>
      <w:r>
        <w:rPr>
          <w:rFonts w:hint="eastAsia" w:ascii="宋体" w:hAnsi="宋体" w:eastAsia="宋体" w:cs="宋体"/>
          <w:color w:val="auto"/>
          <w:sz w:val="30"/>
          <w:szCs w:val="30"/>
        </w:rPr>
        <w:t>网站上发布。</w:t>
      </w:r>
    </w:p>
    <w:p w14:paraId="6F06DA3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九、联系方式</w:t>
      </w:r>
    </w:p>
    <w:p w14:paraId="074E58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监督单位：卢氏县政府采购办公室</w:t>
      </w:r>
    </w:p>
    <w:p w14:paraId="1D5162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联系方式：0398-7863556 </w:t>
      </w:r>
    </w:p>
    <w:p w14:paraId="01C5FEF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01"/>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地址：卢氏县城关镇解放路中段</w:t>
      </w:r>
    </w:p>
    <w:p w14:paraId="274023AF">
      <w:pPr>
        <w:rPr>
          <w:rFonts w:hint="eastAsia" w:ascii="宋体" w:hAnsi="宋体" w:eastAsia="宋体" w:cs="宋体"/>
          <w:color w:val="auto"/>
          <w:sz w:val="30"/>
          <w:szCs w:val="30"/>
        </w:rPr>
      </w:pPr>
      <w:bookmarkStart w:id="22" w:name="_Toc25087"/>
      <w:bookmarkStart w:id="23" w:name="_Toc17606"/>
      <w:r>
        <w:rPr>
          <w:rFonts w:hint="eastAsia" w:ascii="宋体" w:hAnsi="宋体" w:eastAsia="宋体" w:cs="宋体"/>
          <w:color w:val="auto"/>
          <w:sz w:val="30"/>
          <w:szCs w:val="30"/>
        </w:rPr>
        <w:br w:type="page"/>
      </w:r>
    </w:p>
    <w:p w14:paraId="345F79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监督单位：卢氏县民政局</w:t>
      </w:r>
    </w:p>
    <w:p w14:paraId="4756E80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联系人：</w:t>
      </w:r>
      <w:r>
        <w:rPr>
          <w:rFonts w:hint="eastAsia" w:ascii="宋体" w:hAnsi="宋体" w:eastAsia="宋体" w:cs="宋体"/>
          <w:color w:val="auto"/>
          <w:sz w:val="30"/>
          <w:szCs w:val="30"/>
          <w:lang w:val="en-US" w:eastAsia="zh-CN"/>
        </w:rPr>
        <w:t>王文波</w:t>
      </w:r>
    </w:p>
    <w:p w14:paraId="5B6289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rPr>
        <w:t>电话：</w:t>
      </w:r>
      <w:r>
        <w:rPr>
          <w:rFonts w:hint="eastAsia" w:ascii="宋体" w:hAnsi="宋体" w:eastAsia="宋体" w:cs="宋体"/>
          <w:color w:val="auto"/>
          <w:sz w:val="30"/>
          <w:szCs w:val="30"/>
          <w:lang w:val="en-US" w:eastAsia="zh-CN"/>
        </w:rPr>
        <w:t>13193972263</w:t>
      </w:r>
    </w:p>
    <w:p w14:paraId="0AD6FF5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地址：卢氏县城关镇清惠路中段</w:t>
      </w:r>
    </w:p>
    <w:p w14:paraId="1551F8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采购人：卢氏县民政局</w:t>
      </w:r>
    </w:p>
    <w:p w14:paraId="74FCE1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联系人：宋卫峰 </w:t>
      </w:r>
    </w:p>
    <w:p w14:paraId="49C813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电话：13839807925 </w:t>
      </w:r>
    </w:p>
    <w:p w14:paraId="0FAC6ED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地址：卢氏县城关镇清惠路中段</w:t>
      </w:r>
    </w:p>
    <w:p w14:paraId="38ED96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代理机构：河南龙冉工程管理有限公司</w:t>
      </w:r>
    </w:p>
    <w:p w14:paraId="0CBD5C7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rPr>
        <w:t>联系人：梁燕</w:t>
      </w:r>
    </w:p>
    <w:p w14:paraId="1F344DE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rPr>
        <w:t>电话：15138181013</w:t>
      </w:r>
    </w:p>
    <w:p w14:paraId="6981A2A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60" w:lineRule="exact"/>
        <w:ind w:left="0"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地址：河南省三门峡市卢氏县农贸市场19号楼</w:t>
      </w:r>
    </w:p>
    <w:p w14:paraId="12307E70">
      <w:pPr>
        <w:keepNext w:val="0"/>
        <w:keepLines w:val="0"/>
        <w:pageBreakBefore w:val="0"/>
        <w:kinsoku/>
        <w:wordWrap w:val="0"/>
        <w:overflowPunct/>
        <w:autoSpaceDE/>
        <w:autoSpaceDN/>
        <w:bidi w:val="0"/>
        <w:adjustRightInd/>
        <w:snapToGrid/>
        <w:spacing w:line="660" w:lineRule="exact"/>
        <w:ind w:firstLine="640" w:firstLineChars="200"/>
        <w:jc w:val="left"/>
        <w:textAlignment w:val="auto"/>
        <w:rPr>
          <w:rFonts w:hint="eastAsia" w:ascii="宋体" w:hAnsi="宋体" w:eastAsia="宋体" w:cs="宋体"/>
          <w:color w:val="auto"/>
          <w:sz w:val="32"/>
          <w:szCs w:val="32"/>
        </w:rPr>
      </w:pPr>
    </w:p>
    <w:p w14:paraId="069E15BD">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4CFD2DD5">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6" w:beforeAutospacing="0" w:after="156" w:afterAutospacing="0" w:line="600" w:lineRule="exact"/>
        <w:jc w:val="center"/>
        <w:textAlignment w:val="auto"/>
        <w:outlineLvl w:val="0"/>
        <w:rPr>
          <w:rFonts w:hint="eastAsia" w:ascii="宋体" w:hAnsi="宋体" w:eastAsia="宋体" w:cs="宋体"/>
          <w:color w:val="auto"/>
          <w:sz w:val="32"/>
          <w:szCs w:val="32"/>
        </w:rPr>
      </w:pPr>
      <w:r>
        <w:rPr>
          <w:rFonts w:hint="eastAsia" w:ascii="宋体" w:hAnsi="宋体" w:eastAsia="宋体" w:cs="宋体"/>
          <w:b/>
          <w:bCs/>
          <w:color w:val="auto"/>
          <w:sz w:val="32"/>
          <w:szCs w:val="32"/>
        </w:rPr>
        <w:t> </w:t>
      </w:r>
      <w:bookmarkStart w:id="24" w:name="_Toc7797"/>
      <w:r>
        <w:rPr>
          <w:rFonts w:hint="eastAsia" w:ascii="宋体" w:hAnsi="宋体" w:eastAsia="宋体" w:cs="宋体"/>
          <w:b/>
          <w:bCs/>
          <w:color w:val="auto"/>
          <w:sz w:val="32"/>
          <w:szCs w:val="32"/>
        </w:rPr>
        <w:t>第二章  投标供应商须知</w:t>
      </w:r>
      <w:bookmarkEnd w:id="22"/>
      <w:bookmarkEnd w:id="23"/>
      <w:bookmarkEnd w:id="24"/>
    </w:p>
    <w:p w14:paraId="0FCAA56C">
      <w:pPr>
        <w:widowControl/>
        <w:jc w:val="center"/>
        <w:rPr>
          <w:color w:val="auto"/>
          <w:sz w:val="28"/>
          <w:szCs w:val="36"/>
        </w:rPr>
      </w:pPr>
      <w:r>
        <w:rPr>
          <w:rFonts w:hint="eastAsia"/>
          <w:color w:val="auto"/>
          <w:sz w:val="28"/>
          <w:szCs w:val="36"/>
        </w:rPr>
        <w:t>供应商须知前附表</w:t>
      </w:r>
    </w:p>
    <w:tbl>
      <w:tblPr>
        <w:tblStyle w:val="17"/>
        <w:tblW w:w="10131" w:type="dxa"/>
        <w:jc w:val="center"/>
        <w:tblLayout w:type="fixed"/>
        <w:tblCellMar>
          <w:top w:w="0" w:type="dxa"/>
          <w:left w:w="108" w:type="dxa"/>
          <w:bottom w:w="0" w:type="dxa"/>
          <w:right w:w="108" w:type="dxa"/>
        </w:tblCellMar>
      </w:tblPr>
      <w:tblGrid>
        <w:gridCol w:w="1096"/>
        <w:gridCol w:w="1878"/>
        <w:gridCol w:w="7157"/>
      </w:tblGrid>
      <w:tr w14:paraId="187F7365">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5BE184A">
            <w:pPr>
              <w:jc w:val="center"/>
              <w:rPr>
                <w:rFonts w:hint="eastAsia" w:ascii="宋体" w:hAnsi="宋体" w:cs="宋体"/>
                <w:b/>
                <w:bCs/>
                <w:color w:val="auto"/>
                <w:sz w:val="24"/>
              </w:rPr>
            </w:pPr>
            <w:r>
              <w:rPr>
                <w:rFonts w:hint="eastAsia" w:ascii="宋体" w:hAnsi="宋体" w:cs="宋体"/>
                <w:b/>
                <w:bCs/>
                <w:color w:val="auto"/>
                <w:sz w:val="24"/>
              </w:rPr>
              <w:t>条款号</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FCDCEAD">
            <w:pPr>
              <w:jc w:val="center"/>
              <w:rPr>
                <w:rFonts w:hint="eastAsia" w:ascii="宋体" w:hAnsi="宋体" w:cs="宋体"/>
                <w:b/>
                <w:bCs/>
                <w:color w:val="auto"/>
                <w:sz w:val="24"/>
              </w:rPr>
            </w:pPr>
            <w:r>
              <w:rPr>
                <w:rFonts w:hint="eastAsia" w:ascii="宋体" w:hAnsi="宋体" w:cs="宋体"/>
                <w:b/>
                <w:bCs/>
                <w:color w:val="auto"/>
                <w:sz w:val="24"/>
              </w:rPr>
              <w:t>条  款  名  称</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AC30DA9">
            <w:pPr>
              <w:jc w:val="center"/>
              <w:rPr>
                <w:rFonts w:hint="eastAsia" w:ascii="宋体" w:hAnsi="宋体" w:cs="宋体"/>
                <w:b/>
                <w:bCs/>
                <w:color w:val="auto"/>
                <w:sz w:val="24"/>
              </w:rPr>
            </w:pPr>
            <w:r>
              <w:rPr>
                <w:rFonts w:hint="eastAsia" w:ascii="宋体" w:hAnsi="宋体" w:cs="宋体"/>
                <w:b/>
                <w:bCs/>
                <w:color w:val="auto"/>
                <w:sz w:val="24"/>
              </w:rPr>
              <w:t>编  列  内  容</w:t>
            </w:r>
          </w:p>
        </w:tc>
      </w:tr>
      <w:tr w14:paraId="749F4210">
        <w:tblPrEx>
          <w:tblCellMar>
            <w:top w:w="0" w:type="dxa"/>
            <w:left w:w="108" w:type="dxa"/>
            <w:bottom w:w="0" w:type="dxa"/>
            <w:right w:w="108" w:type="dxa"/>
          </w:tblCellMar>
        </w:tblPrEx>
        <w:trPr>
          <w:trHeight w:val="1411"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F16E501">
            <w:pPr>
              <w:jc w:val="center"/>
              <w:rPr>
                <w:rFonts w:hint="eastAsia" w:ascii="宋体" w:hAnsi="宋体" w:cs="宋体"/>
                <w:color w:val="auto"/>
                <w:sz w:val="24"/>
              </w:rPr>
            </w:pPr>
            <w:r>
              <w:rPr>
                <w:rFonts w:hint="eastAsia" w:ascii="宋体" w:hAnsi="宋体" w:cs="宋体"/>
                <w:color w:val="auto"/>
                <w:sz w:val="24"/>
              </w:rPr>
              <w:t>1</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25C38E2">
            <w:pPr>
              <w:jc w:val="center"/>
              <w:rPr>
                <w:rFonts w:hint="eastAsia" w:ascii="宋体" w:hAnsi="宋体" w:eastAsia="宋体" w:cs="宋体"/>
                <w:color w:val="auto"/>
                <w:sz w:val="24"/>
                <w:lang w:eastAsia="zh-CN"/>
              </w:rPr>
            </w:pPr>
            <w:r>
              <w:rPr>
                <w:rFonts w:hint="eastAsia" w:ascii="宋体" w:hAnsi="宋体" w:cs="宋体"/>
                <w:color w:val="auto"/>
                <w:sz w:val="24"/>
                <w:lang w:eastAsia="zh-CN"/>
              </w:rPr>
              <w:t>采购人</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FDDB4B8">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采购人：卢氏县民政局</w:t>
            </w:r>
          </w:p>
          <w:p w14:paraId="2340B965">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 xml:space="preserve">联系人：宋卫峰 </w:t>
            </w:r>
          </w:p>
          <w:p w14:paraId="736C0B3F">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 xml:space="preserve">电话：13839807925 </w:t>
            </w:r>
          </w:p>
          <w:p w14:paraId="4F5E9C3E">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地址：卢氏县城关镇清惠路中段</w:t>
            </w:r>
          </w:p>
        </w:tc>
      </w:tr>
      <w:tr w14:paraId="79E18C0E">
        <w:tblPrEx>
          <w:tblCellMar>
            <w:top w:w="0" w:type="dxa"/>
            <w:left w:w="108" w:type="dxa"/>
            <w:bottom w:w="0" w:type="dxa"/>
            <w:right w:w="108" w:type="dxa"/>
          </w:tblCellMar>
        </w:tblPrEx>
        <w:trPr>
          <w:trHeight w:val="1417"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8322C08">
            <w:pPr>
              <w:jc w:val="center"/>
              <w:rPr>
                <w:rFonts w:hint="eastAsia" w:ascii="宋体" w:hAnsi="宋体" w:cs="宋体"/>
                <w:color w:val="auto"/>
                <w:sz w:val="24"/>
              </w:rPr>
            </w:pPr>
            <w:r>
              <w:rPr>
                <w:rFonts w:hint="eastAsia" w:ascii="宋体" w:hAnsi="宋体" w:cs="宋体"/>
                <w:color w:val="auto"/>
                <w:sz w:val="24"/>
              </w:rPr>
              <w:t>2</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64061ED">
            <w:pPr>
              <w:jc w:val="center"/>
              <w:rPr>
                <w:rFonts w:hint="eastAsia" w:ascii="宋体" w:hAnsi="宋体" w:cs="宋体"/>
                <w:color w:val="auto"/>
                <w:sz w:val="24"/>
              </w:rPr>
            </w:pPr>
            <w:r>
              <w:rPr>
                <w:rFonts w:hint="eastAsia" w:ascii="宋体" w:hAnsi="宋体" w:cs="宋体"/>
                <w:color w:val="auto"/>
                <w:sz w:val="24"/>
              </w:rPr>
              <w:t>代理机构</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D7099A3">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代理机构：河南龙冉工程管理有限公司</w:t>
            </w:r>
          </w:p>
          <w:p w14:paraId="57C63F0E">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联系人：梁燕</w:t>
            </w:r>
          </w:p>
          <w:p w14:paraId="0CC1EABB">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电话：15138181013</w:t>
            </w:r>
          </w:p>
          <w:p w14:paraId="2CEC3303">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地址：河南省三门峡市卢氏县农贸市场19号楼</w:t>
            </w:r>
          </w:p>
        </w:tc>
      </w:tr>
      <w:tr w14:paraId="42916D4D">
        <w:tblPrEx>
          <w:tblCellMar>
            <w:top w:w="0" w:type="dxa"/>
            <w:left w:w="108" w:type="dxa"/>
            <w:bottom w:w="0" w:type="dxa"/>
            <w:right w:w="108" w:type="dxa"/>
          </w:tblCellMar>
        </w:tblPrEx>
        <w:trPr>
          <w:trHeight w:val="519"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ECF6FD1">
            <w:pPr>
              <w:jc w:val="center"/>
              <w:rPr>
                <w:rFonts w:hint="eastAsia" w:ascii="宋体" w:hAnsi="宋体" w:cs="宋体"/>
                <w:color w:val="auto"/>
                <w:sz w:val="24"/>
              </w:rPr>
            </w:pPr>
            <w:r>
              <w:rPr>
                <w:rFonts w:hint="eastAsia" w:ascii="宋体" w:hAnsi="宋体" w:cs="宋体"/>
                <w:color w:val="auto"/>
                <w:sz w:val="24"/>
              </w:rPr>
              <w:t>3</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87C734C">
            <w:pPr>
              <w:jc w:val="center"/>
              <w:rPr>
                <w:rFonts w:hint="eastAsia" w:ascii="宋体" w:hAnsi="宋体" w:cs="宋体"/>
                <w:color w:val="auto"/>
                <w:sz w:val="24"/>
              </w:rPr>
            </w:pPr>
            <w:r>
              <w:rPr>
                <w:rFonts w:hint="eastAsia" w:ascii="宋体" w:hAnsi="宋体" w:cs="宋体"/>
                <w:color w:val="auto"/>
                <w:sz w:val="24"/>
              </w:rPr>
              <w:t>项目名称</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C0D007F">
            <w:pPr>
              <w:pStyle w:val="12"/>
              <w:wordWrap w:val="0"/>
              <w:spacing w:before="0" w:beforeAutospacing="0" w:after="0" w:afterAutospacing="0" w:line="240" w:lineRule="auto"/>
              <w:jc w:val="both"/>
              <w:rPr>
                <w:rFonts w:hint="eastAsia" w:eastAsia="宋体" w:cs="宋体"/>
                <w:color w:val="auto"/>
                <w:kern w:val="2"/>
                <w:lang w:eastAsia="zh-CN"/>
              </w:rPr>
            </w:pPr>
            <w:r>
              <w:rPr>
                <w:rFonts w:hint="eastAsia" w:ascii="宋体" w:hAnsi="宋体" w:eastAsia="宋体" w:cs="宋体"/>
                <w:color w:val="auto"/>
                <w:sz w:val="24"/>
                <w:szCs w:val="24"/>
                <w:lang w:eastAsia="zh-CN"/>
              </w:rPr>
              <w:t>卢氏县民政局2024年救助物资采购项目（</w:t>
            </w:r>
            <w:r>
              <w:rPr>
                <w:rFonts w:hint="eastAsia" w:ascii="宋体" w:hAnsi="宋体" w:eastAsia="宋体" w:cs="宋体"/>
                <w:color w:val="auto"/>
                <w:sz w:val="24"/>
                <w:szCs w:val="24"/>
                <w:lang w:val="en-US" w:eastAsia="zh-CN"/>
              </w:rPr>
              <w:t>二次</w:t>
            </w:r>
            <w:r>
              <w:rPr>
                <w:rFonts w:hint="eastAsia" w:ascii="宋体" w:hAnsi="宋体" w:eastAsia="宋体" w:cs="宋体"/>
                <w:color w:val="auto"/>
                <w:sz w:val="24"/>
                <w:szCs w:val="24"/>
                <w:lang w:eastAsia="zh-CN"/>
              </w:rPr>
              <w:t>）</w:t>
            </w:r>
          </w:p>
        </w:tc>
      </w:tr>
      <w:tr w14:paraId="5282BEB4">
        <w:tblPrEx>
          <w:tblCellMar>
            <w:top w:w="0" w:type="dxa"/>
            <w:left w:w="108" w:type="dxa"/>
            <w:bottom w:w="0" w:type="dxa"/>
            <w:right w:w="108" w:type="dxa"/>
          </w:tblCellMar>
        </w:tblPrEx>
        <w:trPr>
          <w:trHeight w:val="53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841E0C0">
            <w:pPr>
              <w:jc w:val="center"/>
              <w:rPr>
                <w:rFonts w:hint="eastAsia" w:ascii="宋体" w:hAnsi="宋体" w:cs="宋体"/>
                <w:color w:val="auto"/>
                <w:sz w:val="24"/>
              </w:rPr>
            </w:pPr>
            <w:r>
              <w:rPr>
                <w:rFonts w:hint="eastAsia" w:ascii="宋体" w:hAnsi="宋体" w:cs="宋体"/>
                <w:color w:val="auto"/>
                <w:sz w:val="24"/>
              </w:rPr>
              <w:t>4</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436D24E">
            <w:pPr>
              <w:jc w:val="center"/>
              <w:rPr>
                <w:rFonts w:hint="eastAsia" w:ascii="宋体" w:hAnsi="宋体" w:cs="宋体"/>
                <w:color w:val="auto"/>
                <w:sz w:val="24"/>
              </w:rPr>
            </w:pPr>
            <w:r>
              <w:rPr>
                <w:rFonts w:hint="eastAsia" w:ascii="宋体" w:hAnsi="宋体" w:cs="宋体"/>
                <w:color w:val="auto"/>
                <w:sz w:val="24"/>
              </w:rPr>
              <w:t>采购方式</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131CBCC">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公开招标</w:t>
            </w:r>
          </w:p>
        </w:tc>
      </w:tr>
      <w:tr w14:paraId="167C1AAB">
        <w:tblPrEx>
          <w:tblCellMar>
            <w:top w:w="0" w:type="dxa"/>
            <w:left w:w="108" w:type="dxa"/>
            <w:bottom w:w="0" w:type="dxa"/>
            <w:right w:w="108" w:type="dxa"/>
          </w:tblCellMar>
        </w:tblPrEx>
        <w:trPr>
          <w:trHeight w:val="726"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3D27429">
            <w:pPr>
              <w:jc w:val="center"/>
              <w:rPr>
                <w:rFonts w:hint="eastAsia" w:ascii="宋体" w:hAnsi="宋体" w:cs="宋体"/>
                <w:color w:val="auto"/>
                <w:sz w:val="24"/>
              </w:rPr>
            </w:pPr>
            <w:r>
              <w:rPr>
                <w:rFonts w:hint="eastAsia" w:ascii="宋体" w:hAnsi="宋体" w:cs="宋体"/>
                <w:color w:val="auto"/>
                <w:sz w:val="24"/>
              </w:rPr>
              <w:t>5</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A228F95">
            <w:pPr>
              <w:jc w:val="center"/>
              <w:rPr>
                <w:rFonts w:hint="eastAsia" w:ascii="宋体" w:hAnsi="宋体" w:cs="宋体"/>
                <w:color w:val="auto"/>
                <w:sz w:val="24"/>
              </w:rPr>
            </w:pPr>
            <w:r>
              <w:rPr>
                <w:rFonts w:hint="eastAsia" w:ascii="宋体" w:hAnsi="宋体" w:cs="宋体"/>
                <w:color w:val="auto"/>
                <w:sz w:val="24"/>
              </w:rPr>
              <w:t>采购内容</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EEF0AD6">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采购棉被</w:t>
            </w:r>
            <w:r>
              <w:rPr>
                <w:rFonts w:hint="eastAsia" w:cs="宋体"/>
                <w:color w:val="auto"/>
                <w:kern w:val="2"/>
                <w:lang w:eastAsia="zh-CN"/>
              </w:rPr>
              <w:t>、</w:t>
            </w:r>
            <w:r>
              <w:rPr>
                <w:rFonts w:hint="eastAsia" w:cs="宋体"/>
                <w:color w:val="auto"/>
                <w:kern w:val="2"/>
              </w:rPr>
              <w:t>面粉</w:t>
            </w:r>
            <w:r>
              <w:rPr>
                <w:rFonts w:hint="eastAsia" w:cs="宋体"/>
                <w:color w:val="auto"/>
                <w:kern w:val="2"/>
                <w:lang w:eastAsia="zh-CN"/>
              </w:rPr>
              <w:t>、</w:t>
            </w:r>
            <w:r>
              <w:rPr>
                <w:rFonts w:hint="eastAsia" w:cs="宋体"/>
                <w:color w:val="auto"/>
                <w:kern w:val="2"/>
              </w:rPr>
              <w:t>大米（详见招标文件第三章采购需求）</w:t>
            </w:r>
          </w:p>
        </w:tc>
      </w:tr>
      <w:tr w14:paraId="46194558">
        <w:tblPrEx>
          <w:tblCellMar>
            <w:top w:w="0" w:type="dxa"/>
            <w:left w:w="108" w:type="dxa"/>
            <w:bottom w:w="0" w:type="dxa"/>
            <w:right w:w="108" w:type="dxa"/>
          </w:tblCellMar>
        </w:tblPrEx>
        <w:trPr>
          <w:trHeight w:val="551"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27F716D">
            <w:pPr>
              <w:jc w:val="center"/>
              <w:rPr>
                <w:rFonts w:hint="eastAsia" w:ascii="宋体" w:hAnsi="宋体" w:cs="宋体"/>
                <w:color w:val="auto"/>
                <w:sz w:val="24"/>
              </w:rPr>
            </w:pPr>
            <w:r>
              <w:rPr>
                <w:rFonts w:hint="eastAsia" w:ascii="宋体" w:hAnsi="宋体" w:cs="宋体"/>
                <w:color w:val="auto"/>
                <w:sz w:val="24"/>
              </w:rPr>
              <w:t>6</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84E2F7E">
            <w:pPr>
              <w:jc w:val="center"/>
              <w:rPr>
                <w:rFonts w:hint="eastAsia" w:ascii="宋体" w:hAnsi="宋体" w:cs="宋体"/>
                <w:color w:val="auto"/>
                <w:sz w:val="24"/>
              </w:rPr>
            </w:pPr>
            <w:r>
              <w:rPr>
                <w:rFonts w:hint="eastAsia" w:ascii="宋体" w:hAnsi="宋体" w:cs="宋体"/>
                <w:color w:val="auto"/>
                <w:sz w:val="24"/>
              </w:rPr>
              <w:t>标段划分</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36987E0">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本项目为一个标段</w:t>
            </w:r>
          </w:p>
        </w:tc>
      </w:tr>
      <w:tr w14:paraId="33DCFC3C">
        <w:tblPrEx>
          <w:tblCellMar>
            <w:top w:w="0" w:type="dxa"/>
            <w:left w:w="108" w:type="dxa"/>
            <w:bottom w:w="0" w:type="dxa"/>
            <w:right w:w="108" w:type="dxa"/>
          </w:tblCellMar>
        </w:tblPrEx>
        <w:trPr>
          <w:trHeight w:val="633"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E6BC1F6">
            <w:pPr>
              <w:jc w:val="center"/>
              <w:rPr>
                <w:rFonts w:hint="eastAsia" w:ascii="宋体" w:hAnsi="宋体" w:cs="宋体"/>
                <w:color w:val="auto"/>
                <w:sz w:val="24"/>
              </w:rPr>
            </w:pPr>
            <w:r>
              <w:rPr>
                <w:rFonts w:hint="eastAsia" w:ascii="宋体" w:hAnsi="宋体" w:cs="宋体"/>
                <w:color w:val="auto"/>
                <w:sz w:val="24"/>
              </w:rPr>
              <w:t>7</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B93FE8E">
            <w:pPr>
              <w:jc w:val="center"/>
              <w:rPr>
                <w:rFonts w:hint="eastAsia" w:ascii="宋体" w:hAnsi="宋体" w:cs="宋体"/>
                <w:color w:val="auto"/>
                <w:sz w:val="24"/>
              </w:rPr>
            </w:pPr>
            <w:r>
              <w:rPr>
                <w:rFonts w:hint="eastAsia" w:ascii="宋体" w:hAnsi="宋体" w:cs="宋体"/>
                <w:color w:val="auto"/>
                <w:sz w:val="24"/>
              </w:rPr>
              <w:t>资金来源</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0C0A2EE">
            <w:pPr>
              <w:pStyle w:val="12"/>
              <w:wordWrap w:val="0"/>
              <w:spacing w:before="0" w:beforeAutospacing="0" w:after="0" w:afterAutospacing="0" w:line="240" w:lineRule="auto"/>
              <w:jc w:val="both"/>
              <w:rPr>
                <w:rFonts w:hint="eastAsia" w:cs="宋体" w:eastAsiaTheme="minorEastAsia"/>
                <w:color w:val="auto"/>
                <w:kern w:val="2"/>
                <w:lang w:eastAsia="zh-CN"/>
              </w:rPr>
            </w:pPr>
            <w:r>
              <w:rPr>
                <w:rFonts w:hint="eastAsia" w:cs="宋体"/>
                <w:color w:val="auto"/>
                <w:kern w:val="2"/>
                <w:lang w:val="en-US" w:eastAsia="zh-CN"/>
              </w:rPr>
              <w:t>财政</w:t>
            </w:r>
            <w:r>
              <w:rPr>
                <w:rFonts w:hint="eastAsia" w:cs="宋体"/>
                <w:color w:val="auto"/>
                <w:kern w:val="2"/>
                <w:lang w:eastAsia="zh-CN"/>
              </w:rPr>
              <w:t>资金</w:t>
            </w:r>
          </w:p>
        </w:tc>
      </w:tr>
      <w:tr w14:paraId="0C91D3EB">
        <w:tblPrEx>
          <w:tblCellMar>
            <w:top w:w="0" w:type="dxa"/>
            <w:left w:w="108" w:type="dxa"/>
            <w:bottom w:w="0" w:type="dxa"/>
            <w:right w:w="108" w:type="dxa"/>
          </w:tblCellMar>
        </w:tblPrEx>
        <w:trPr>
          <w:trHeight w:val="74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E751BA3">
            <w:pPr>
              <w:jc w:val="center"/>
              <w:rPr>
                <w:rFonts w:hint="eastAsia" w:ascii="宋体" w:hAnsi="宋体" w:cs="宋体"/>
                <w:color w:val="auto"/>
                <w:sz w:val="24"/>
              </w:rPr>
            </w:pPr>
            <w:r>
              <w:rPr>
                <w:rFonts w:hint="eastAsia" w:ascii="宋体" w:hAnsi="宋体" w:cs="宋体"/>
                <w:color w:val="auto"/>
                <w:sz w:val="24"/>
              </w:rPr>
              <w:t>8</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CE4C4B6">
            <w:pPr>
              <w:jc w:val="center"/>
              <w:rPr>
                <w:rFonts w:hint="eastAsia" w:ascii="宋体" w:hAnsi="宋体" w:cs="宋体"/>
                <w:color w:val="auto"/>
                <w:sz w:val="24"/>
              </w:rPr>
            </w:pPr>
            <w:r>
              <w:rPr>
                <w:rFonts w:hint="eastAsia" w:ascii="宋体" w:hAnsi="宋体" w:cs="宋体"/>
                <w:color w:val="auto"/>
                <w:sz w:val="24"/>
              </w:rPr>
              <w:t>资金落实情况</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6C8F90B">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已落实</w:t>
            </w:r>
          </w:p>
        </w:tc>
      </w:tr>
      <w:tr w14:paraId="56522F32">
        <w:tblPrEx>
          <w:tblCellMar>
            <w:top w:w="0" w:type="dxa"/>
            <w:left w:w="108" w:type="dxa"/>
            <w:bottom w:w="0" w:type="dxa"/>
            <w:right w:w="108" w:type="dxa"/>
          </w:tblCellMar>
        </w:tblPrEx>
        <w:trPr>
          <w:trHeight w:val="653"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650FE645">
            <w:pPr>
              <w:jc w:val="center"/>
              <w:rPr>
                <w:rFonts w:hint="eastAsia" w:ascii="宋体" w:hAnsi="宋体" w:cs="宋体"/>
                <w:color w:val="auto"/>
                <w:sz w:val="24"/>
              </w:rPr>
            </w:pPr>
            <w:r>
              <w:rPr>
                <w:rFonts w:hint="eastAsia" w:ascii="宋体" w:hAnsi="宋体" w:cs="宋体"/>
                <w:color w:val="auto"/>
                <w:sz w:val="24"/>
              </w:rPr>
              <w:t>9</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D671CBB">
            <w:pPr>
              <w:jc w:val="center"/>
              <w:rPr>
                <w:rFonts w:hint="eastAsia" w:ascii="宋体" w:hAnsi="宋体" w:cs="宋体"/>
                <w:color w:val="auto"/>
                <w:sz w:val="24"/>
              </w:rPr>
            </w:pPr>
            <w:r>
              <w:rPr>
                <w:rFonts w:hint="eastAsia" w:ascii="宋体" w:hAnsi="宋体" w:cs="宋体"/>
                <w:color w:val="auto"/>
                <w:sz w:val="24"/>
              </w:rPr>
              <w:t>招标范围</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AA41D4F">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招标文件及采购</w:t>
            </w:r>
            <w:r>
              <w:rPr>
                <w:rFonts w:hint="eastAsia" w:cs="宋体"/>
                <w:color w:val="auto"/>
                <w:kern w:val="2"/>
                <w:lang w:val="en-US" w:eastAsia="zh-CN"/>
              </w:rPr>
              <w:t>需求</w:t>
            </w:r>
            <w:r>
              <w:rPr>
                <w:rFonts w:hint="eastAsia" w:cs="宋体"/>
                <w:color w:val="auto"/>
                <w:kern w:val="2"/>
              </w:rPr>
              <w:t>包含的所有内容</w:t>
            </w:r>
          </w:p>
        </w:tc>
      </w:tr>
      <w:tr w14:paraId="0AD2003B">
        <w:tblPrEx>
          <w:tblCellMar>
            <w:top w:w="0" w:type="dxa"/>
            <w:left w:w="108" w:type="dxa"/>
            <w:bottom w:w="0" w:type="dxa"/>
            <w:right w:w="108" w:type="dxa"/>
          </w:tblCellMar>
        </w:tblPrEx>
        <w:trPr>
          <w:trHeight w:val="647"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DA98E6E">
            <w:pPr>
              <w:jc w:val="center"/>
              <w:rPr>
                <w:rFonts w:hint="eastAsia" w:ascii="宋体" w:hAnsi="宋体" w:cs="宋体"/>
                <w:color w:val="auto"/>
                <w:sz w:val="24"/>
              </w:rPr>
            </w:pPr>
            <w:r>
              <w:rPr>
                <w:rFonts w:hint="eastAsia" w:ascii="宋体" w:hAnsi="宋体" w:cs="宋体"/>
                <w:color w:val="auto"/>
                <w:sz w:val="24"/>
              </w:rPr>
              <w:t>10</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5A97E2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供货期</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45C70E6">
            <w:pPr>
              <w:pStyle w:val="12"/>
              <w:wordWrap w:val="0"/>
              <w:spacing w:before="0" w:beforeAutospacing="0" w:after="0" w:afterAutospacing="0"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日历天内完成</w:t>
            </w:r>
          </w:p>
        </w:tc>
      </w:tr>
      <w:tr w14:paraId="722D2FF9">
        <w:tblPrEx>
          <w:tblCellMar>
            <w:top w:w="0" w:type="dxa"/>
            <w:left w:w="108" w:type="dxa"/>
            <w:bottom w:w="0" w:type="dxa"/>
            <w:right w:w="108" w:type="dxa"/>
          </w:tblCellMar>
        </w:tblPrEx>
        <w:trPr>
          <w:trHeight w:val="718"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71D6C72">
            <w:pPr>
              <w:jc w:val="center"/>
              <w:rPr>
                <w:rFonts w:hint="eastAsia" w:ascii="宋体" w:hAnsi="宋体" w:cs="宋体"/>
                <w:color w:val="auto"/>
                <w:sz w:val="24"/>
              </w:rPr>
            </w:pPr>
            <w:r>
              <w:rPr>
                <w:rFonts w:hint="eastAsia" w:ascii="宋体" w:hAnsi="宋体" w:cs="宋体"/>
                <w:color w:val="auto"/>
                <w:sz w:val="24"/>
              </w:rPr>
              <w:t>11</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41CDC62">
            <w:pPr>
              <w:jc w:val="center"/>
              <w:rPr>
                <w:rFonts w:hint="eastAsia" w:ascii="宋体" w:hAnsi="宋体" w:cs="宋体"/>
                <w:color w:val="auto"/>
                <w:sz w:val="24"/>
              </w:rPr>
            </w:pPr>
            <w:r>
              <w:rPr>
                <w:rFonts w:hint="eastAsia" w:ascii="宋体" w:hAnsi="宋体" w:cs="宋体"/>
                <w:color w:val="auto"/>
                <w:sz w:val="24"/>
              </w:rPr>
              <w:t>质量要求</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B97AEA4">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符合国家及行业标准并满足采购人使用要求</w:t>
            </w:r>
          </w:p>
        </w:tc>
      </w:tr>
      <w:tr w14:paraId="22E74A07">
        <w:tblPrEx>
          <w:tblCellMar>
            <w:top w:w="0" w:type="dxa"/>
            <w:left w:w="108" w:type="dxa"/>
            <w:bottom w:w="0" w:type="dxa"/>
            <w:right w:w="108" w:type="dxa"/>
          </w:tblCellMar>
        </w:tblPrEx>
        <w:trPr>
          <w:trHeight w:val="736"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4A420AD">
            <w:pPr>
              <w:jc w:val="center"/>
              <w:rPr>
                <w:rFonts w:hint="eastAsia" w:ascii="宋体" w:hAnsi="宋体" w:cs="宋体"/>
                <w:color w:val="auto"/>
                <w:sz w:val="24"/>
              </w:rPr>
            </w:pPr>
            <w:r>
              <w:rPr>
                <w:rFonts w:hint="eastAsia" w:ascii="宋体" w:hAnsi="宋体" w:cs="宋体"/>
                <w:color w:val="auto"/>
                <w:sz w:val="24"/>
              </w:rPr>
              <w:t>12</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531E422">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供货</w:t>
            </w:r>
            <w:r>
              <w:rPr>
                <w:rFonts w:hint="eastAsia" w:ascii="宋体" w:hAnsi="宋体" w:cs="宋体"/>
                <w:color w:val="auto"/>
                <w:sz w:val="24"/>
              </w:rPr>
              <w:t>地点</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AF34C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rPr>
                <w:rFonts w:hint="default" w:cs="宋体" w:eastAsiaTheme="minorEastAsia"/>
                <w:color w:val="auto"/>
                <w:kern w:val="2"/>
                <w:lang w:val="en-US" w:eastAsia="zh-CN"/>
              </w:rPr>
            </w:pPr>
            <w:r>
              <w:rPr>
                <w:rFonts w:hint="eastAsia" w:cs="宋体"/>
                <w:color w:val="auto"/>
                <w:kern w:val="2"/>
                <w:lang w:val="en-US" w:eastAsia="zh-CN"/>
              </w:rPr>
              <w:t>业主指定地点</w:t>
            </w:r>
          </w:p>
        </w:tc>
      </w:tr>
      <w:tr w14:paraId="33F60D67">
        <w:tblPrEx>
          <w:tblCellMar>
            <w:top w:w="0" w:type="dxa"/>
            <w:left w:w="108" w:type="dxa"/>
            <w:bottom w:w="0" w:type="dxa"/>
            <w:right w:w="108" w:type="dxa"/>
          </w:tblCellMar>
        </w:tblPrEx>
        <w:trPr>
          <w:trHeight w:val="1235"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ABBC3EB">
            <w:pPr>
              <w:jc w:val="center"/>
              <w:rPr>
                <w:rFonts w:hint="eastAsia" w:ascii="宋体" w:hAnsi="宋体" w:cs="宋体" w:eastAsiaTheme="minorEastAsia"/>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3</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4605C5C">
            <w:pPr>
              <w:jc w:val="center"/>
              <w:rPr>
                <w:rFonts w:hint="eastAsia" w:ascii="宋体" w:hAnsi="宋体" w:cs="宋体"/>
                <w:color w:val="auto"/>
                <w:sz w:val="24"/>
              </w:rPr>
            </w:pPr>
            <w:r>
              <w:rPr>
                <w:rFonts w:hint="eastAsia" w:ascii="宋体" w:hAnsi="宋体" w:cs="宋体"/>
                <w:color w:val="auto"/>
                <w:sz w:val="24"/>
              </w:rPr>
              <w:t>供应商资质条件、能力和信誉</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6A8550C">
            <w:pPr>
              <w:spacing w:line="600" w:lineRule="exact"/>
              <w:jc w:val="left"/>
              <w:rPr>
                <w:rFonts w:hint="eastAsia" w:ascii="宋体" w:hAnsi="宋体" w:cs="宋体"/>
                <w:color w:val="auto"/>
                <w:sz w:val="24"/>
              </w:rPr>
            </w:pPr>
            <w:r>
              <w:rPr>
                <w:rFonts w:hint="eastAsia" w:ascii="宋体" w:hAnsi="宋体" w:cs="宋体"/>
                <w:color w:val="auto"/>
                <w:sz w:val="24"/>
              </w:rPr>
              <w:t>符合《中华人民共和国政府采购法》第二十二条规定并同时具备下列条件：</w:t>
            </w:r>
          </w:p>
          <w:p w14:paraId="1DA6A180">
            <w:pPr>
              <w:spacing w:line="600" w:lineRule="exact"/>
              <w:jc w:val="left"/>
              <w:rPr>
                <w:rFonts w:hint="eastAsia" w:ascii="宋体" w:hAnsi="宋体" w:cs="宋体"/>
                <w:color w:val="auto"/>
                <w:sz w:val="24"/>
              </w:rPr>
            </w:pPr>
            <w:r>
              <w:rPr>
                <w:rFonts w:hint="eastAsia" w:ascii="宋体" w:hAnsi="宋体" w:cs="宋体"/>
                <w:color w:val="auto"/>
                <w:sz w:val="24"/>
              </w:rPr>
              <w:t>1、具有在中华人民共和国境内注册的能够独立承担民事责任的独立法人；</w:t>
            </w:r>
          </w:p>
          <w:p w14:paraId="4BC5EE61">
            <w:pPr>
              <w:spacing w:line="600" w:lineRule="exact"/>
              <w:jc w:val="left"/>
              <w:rPr>
                <w:rFonts w:hint="eastAsia" w:ascii="宋体" w:hAnsi="宋体" w:cs="宋体"/>
                <w:color w:val="auto"/>
                <w:sz w:val="24"/>
              </w:rPr>
            </w:pPr>
            <w:r>
              <w:rPr>
                <w:rFonts w:hint="eastAsia" w:ascii="宋体" w:hAnsi="宋体" w:cs="宋体"/>
                <w:color w:val="auto"/>
                <w:sz w:val="24"/>
              </w:rPr>
              <w:t>2、具有有效的营业执照、税务登记证、组织机构代码证(或“三证合一”的营业执照)；</w:t>
            </w:r>
          </w:p>
          <w:p w14:paraId="4BE96E84">
            <w:pPr>
              <w:spacing w:line="600" w:lineRule="exact"/>
              <w:jc w:val="left"/>
              <w:rPr>
                <w:rFonts w:hint="eastAsia" w:ascii="宋体" w:hAnsi="宋体" w:cs="宋体"/>
                <w:color w:val="auto"/>
                <w:sz w:val="24"/>
              </w:rPr>
            </w:pPr>
            <w:r>
              <w:rPr>
                <w:rFonts w:hint="eastAsia" w:ascii="宋体" w:hAnsi="宋体" w:cs="宋体"/>
                <w:color w:val="auto"/>
                <w:sz w:val="24"/>
              </w:rPr>
              <w:t>3、具有履行本项目采购内容所必须的设备和专业技术服务能力；(提供证明材料或承诺书)；</w:t>
            </w:r>
          </w:p>
          <w:p w14:paraId="074B619D">
            <w:pPr>
              <w:spacing w:line="600" w:lineRule="exact"/>
              <w:jc w:val="left"/>
              <w:rPr>
                <w:rFonts w:hint="eastAsia" w:ascii="宋体" w:hAnsi="宋体" w:cs="宋体"/>
                <w:color w:val="auto"/>
                <w:sz w:val="24"/>
              </w:rPr>
            </w:pPr>
            <w:r>
              <w:rPr>
                <w:rFonts w:hint="eastAsia" w:ascii="宋体" w:hAnsi="宋体" w:cs="宋体"/>
                <w:color w:val="auto"/>
                <w:sz w:val="24"/>
              </w:rPr>
              <w:t>4、依法缴纳税收（提供2024年以来任意一个月企业依法缴纳税收证明材料）和缴纳社会保障资金（提供2024年以来任意一个月拟派项目负责人依法缴纳社保证明材料）； </w:t>
            </w:r>
          </w:p>
          <w:p w14:paraId="0DD25117">
            <w:pPr>
              <w:spacing w:line="600" w:lineRule="exact"/>
              <w:jc w:val="left"/>
              <w:rPr>
                <w:rFonts w:hint="eastAsia" w:ascii="宋体" w:hAnsi="宋体" w:cs="宋体"/>
                <w:color w:val="auto"/>
                <w:sz w:val="24"/>
              </w:rPr>
            </w:pPr>
            <w:r>
              <w:rPr>
                <w:rFonts w:hint="eastAsia" w:ascii="宋体" w:hAnsi="宋体" w:cs="宋体"/>
                <w:color w:val="auto"/>
                <w:sz w:val="24"/>
              </w:rPr>
              <w:t>5、参加政府采购活动前3年内无行贿犯罪记录，（开标时提供《中国裁判文书网》查询结果网页截图或企业自行承诺的无行贿犯罪承诺书，查询&lt;承诺&gt;对象为“企业，法定代表人，项目负责人”）；</w:t>
            </w:r>
          </w:p>
          <w:p w14:paraId="5FD2EE96">
            <w:pPr>
              <w:spacing w:line="600" w:lineRule="exact"/>
              <w:jc w:val="left"/>
              <w:rPr>
                <w:rFonts w:hint="eastAsia" w:ascii="宋体" w:hAnsi="宋体" w:cs="宋体"/>
                <w:color w:val="auto"/>
                <w:sz w:val="24"/>
              </w:rPr>
            </w:pPr>
            <w:r>
              <w:rPr>
                <w:rFonts w:hint="eastAsia" w:ascii="宋体" w:hAnsi="宋体" w:cs="宋体"/>
                <w:color w:val="auto"/>
                <w:sz w:val="24"/>
              </w:rPr>
              <w:t>6、参加政府采购活动前3年内无商业贿赂、不正当竞争行为、骗取中标、严重违约及重大工程质量等问题（供应商须自行出具承诺书）；</w:t>
            </w:r>
          </w:p>
          <w:p w14:paraId="029BDABB">
            <w:pPr>
              <w:spacing w:line="600" w:lineRule="exact"/>
              <w:jc w:val="left"/>
              <w:rPr>
                <w:rFonts w:hint="eastAsia" w:ascii="宋体" w:hAnsi="宋体" w:cs="宋体"/>
                <w:color w:val="auto"/>
                <w:sz w:val="24"/>
              </w:rPr>
            </w:pPr>
            <w:r>
              <w:rPr>
                <w:rFonts w:hint="eastAsia" w:ascii="宋体" w:hAnsi="宋体" w:cs="宋体"/>
                <w:color w:val="auto"/>
                <w:sz w:val="24"/>
              </w:rPr>
              <w:t>7、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注：査询时间必须是公告发布以后开标时间以前并提供网站查询网页截图，查询结果清晰可见)；</w:t>
            </w:r>
          </w:p>
          <w:p w14:paraId="0E95F28E">
            <w:pPr>
              <w:spacing w:line="600" w:lineRule="exact"/>
              <w:jc w:val="left"/>
              <w:rPr>
                <w:rFonts w:hint="eastAsia" w:ascii="宋体" w:hAnsi="宋体" w:cs="宋体"/>
                <w:color w:val="auto"/>
                <w:sz w:val="24"/>
              </w:rPr>
            </w:pPr>
            <w:r>
              <w:rPr>
                <w:rFonts w:hint="eastAsia" w:ascii="宋体" w:hAnsi="宋体" w:cs="宋体"/>
                <w:color w:val="auto"/>
                <w:sz w:val="24"/>
              </w:rPr>
              <w:t>8、本次招标实行资格后审；</w:t>
            </w:r>
          </w:p>
          <w:p w14:paraId="4A3BC0F1">
            <w:pPr>
              <w:spacing w:line="600" w:lineRule="exact"/>
              <w:jc w:val="left"/>
              <w:rPr>
                <w:rFonts w:hint="eastAsia" w:ascii="宋体" w:hAnsi="宋体" w:cs="宋体"/>
                <w:color w:val="auto"/>
                <w:sz w:val="24"/>
              </w:rPr>
            </w:pPr>
            <w:r>
              <w:rPr>
                <w:rFonts w:hint="eastAsia" w:ascii="宋体" w:hAnsi="宋体" w:cs="宋体"/>
                <w:color w:val="auto"/>
                <w:sz w:val="24"/>
              </w:rPr>
              <w:t>9、本项目不接受联合体投标。</w:t>
            </w:r>
          </w:p>
          <w:p w14:paraId="08D410E5">
            <w:pPr>
              <w:spacing w:line="600" w:lineRule="exact"/>
              <w:jc w:val="left"/>
              <w:rPr>
                <w:rFonts w:hint="eastAsia" w:ascii="宋体" w:hAnsi="宋体" w:cs="宋体"/>
                <w:color w:val="auto"/>
                <w:sz w:val="24"/>
              </w:rPr>
            </w:pPr>
            <w:r>
              <w:rPr>
                <w:rFonts w:hint="eastAsia" w:ascii="宋体" w:hAnsi="宋体" w:cs="宋体"/>
                <w:color w:val="auto"/>
                <w:sz w:val="24"/>
              </w:rPr>
              <w:t>注：被列入失信被执行人及重大税收违法失信主体的企业做无效标处理；采购人或采购代理机构有权对供应商信用记录进行甄别和复查。</w:t>
            </w:r>
          </w:p>
        </w:tc>
      </w:tr>
      <w:tr w14:paraId="47AE389E">
        <w:tblPrEx>
          <w:tblCellMar>
            <w:top w:w="0" w:type="dxa"/>
            <w:left w:w="108" w:type="dxa"/>
            <w:bottom w:w="0" w:type="dxa"/>
            <w:right w:w="108" w:type="dxa"/>
          </w:tblCellMar>
        </w:tblPrEx>
        <w:trPr>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87F4FD9">
            <w:pPr>
              <w:jc w:val="center"/>
              <w:rPr>
                <w:rFonts w:hint="eastAsia" w:ascii="宋体" w:hAnsi="宋体" w:cs="宋体"/>
                <w:color w:val="auto"/>
                <w:sz w:val="24"/>
              </w:rPr>
            </w:pPr>
            <w:r>
              <w:rPr>
                <w:rFonts w:hint="eastAsia" w:ascii="宋体" w:hAnsi="宋体" w:cs="宋体"/>
                <w:color w:val="auto"/>
                <w:sz w:val="24"/>
              </w:rPr>
              <w:t>15</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4394D5F">
            <w:pPr>
              <w:spacing w:line="240" w:lineRule="auto"/>
              <w:jc w:val="center"/>
              <w:rPr>
                <w:rFonts w:hint="eastAsia" w:ascii="宋体" w:hAnsi="宋体" w:cs="宋体"/>
                <w:color w:val="auto"/>
                <w:sz w:val="24"/>
              </w:rPr>
            </w:pPr>
            <w:r>
              <w:rPr>
                <w:rFonts w:hint="eastAsia" w:ascii="宋体" w:hAnsi="宋体" w:cs="宋体"/>
                <w:color w:val="auto"/>
                <w:sz w:val="24"/>
              </w:rPr>
              <w:t>是否接受联合体投标</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E2F1E72">
            <w:pPr>
              <w:pStyle w:val="12"/>
              <w:wordWrap w:val="0"/>
              <w:spacing w:before="0" w:beforeAutospacing="0" w:after="0" w:afterAutospacing="0" w:line="240" w:lineRule="auto"/>
              <w:rPr>
                <w:rFonts w:hint="eastAsia" w:cs="宋体"/>
                <w:color w:val="auto"/>
                <w:kern w:val="2"/>
              </w:rPr>
            </w:pPr>
            <w:r>
              <w:rPr>
                <w:rFonts w:hint="eastAsia" w:cs="宋体"/>
                <w:color w:val="auto"/>
                <w:kern w:val="2"/>
              </w:rPr>
              <w:t>不接受</w:t>
            </w:r>
          </w:p>
        </w:tc>
      </w:tr>
      <w:tr w14:paraId="2B2D704F">
        <w:tblPrEx>
          <w:tblCellMar>
            <w:top w:w="0" w:type="dxa"/>
            <w:left w:w="108" w:type="dxa"/>
            <w:bottom w:w="0" w:type="dxa"/>
            <w:right w:w="108" w:type="dxa"/>
          </w:tblCellMar>
        </w:tblPrEx>
        <w:trPr>
          <w:trHeight w:val="376"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3B88A1A">
            <w:pPr>
              <w:jc w:val="center"/>
              <w:rPr>
                <w:rFonts w:hint="eastAsia" w:ascii="宋体" w:hAnsi="宋体" w:cs="宋体"/>
                <w:color w:val="auto"/>
                <w:sz w:val="24"/>
              </w:rPr>
            </w:pPr>
            <w:r>
              <w:rPr>
                <w:rFonts w:hint="eastAsia" w:ascii="宋体" w:hAnsi="宋体" w:cs="宋体"/>
                <w:color w:val="auto"/>
                <w:sz w:val="24"/>
              </w:rPr>
              <w:t>16</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151FD84">
            <w:pPr>
              <w:spacing w:line="240" w:lineRule="auto"/>
              <w:jc w:val="center"/>
              <w:rPr>
                <w:rFonts w:hint="eastAsia" w:ascii="宋体" w:hAnsi="宋体" w:cs="宋体"/>
                <w:color w:val="auto"/>
                <w:sz w:val="24"/>
              </w:rPr>
            </w:pPr>
            <w:r>
              <w:rPr>
                <w:rFonts w:hint="eastAsia" w:ascii="宋体" w:hAnsi="宋体" w:cs="宋体"/>
                <w:color w:val="auto"/>
                <w:sz w:val="24"/>
              </w:rPr>
              <w:t>投标预备会</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2CBCA49">
            <w:pPr>
              <w:pStyle w:val="12"/>
              <w:wordWrap w:val="0"/>
              <w:spacing w:before="0" w:beforeAutospacing="0" w:after="0" w:afterAutospacing="0" w:line="240" w:lineRule="auto"/>
              <w:rPr>
                <w:rFonts w:hint="eastAsia" w:cs="宋体"/>
                <w:color w:val="auto"/>
                <w:kern w:val="2"/>
              </w:rPr>
            </w:pPr>
            <w:r>
              <w:rPr>
                <w:rFonts w:hint="eastAsia" w:cs="宋体"/>
                <w:color w:val="auto"/>
                <w:kern w:val="2"/>
              </w:rPr>
              <w:t>不召开</w:t>
            </w:r>
          </w:p>
        </w:tc>
      </w:tr>
      <w:tr w14:paraId="0E4E1257">
        <w:tblPrEx>
          <w:tblCellMar>
            <w:top w:w="0" w:type="dxa"/>
            <w:left w:w="108" w:type="dxa"/>
            <w:bottom w:w="0" w:type="dxa"/>
            <w:right w:w="108" w:type="dxa"/>
          </w:tblCellMar>
        </w:tblPrEx>
        <w:trPr>
          <w:trHeight w:val="391"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A6ACBBD">
            <w:pPr>
              <w:jc w:val="center"/>
              <w:rPr>
                <w:rFonts w:hint="eastAsia" w:ascii="宋体" w:hAnsi="宋体" w:cs="宋体"/>
                <w:color w:val="auto"/>
                <w:sz w:val="24"/>
              </w:rPr>
            </w:pPr>
            <w:r>
              <w:rPr>
                <w:rFonts w:hint="eastAsia" w:ascii="宋体" w:hAnsi="宋体" w:cs="宋体"/>
                <w:color w:val="auto"/>
                <w:sz w:val="24"/>
              </w:rPr>
              <w:t>17</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35073DD">
            <w:pPr>
              <w:spacing w:line="240" w:lineRule="auto"/>
              <w:jc w:val="center"/>
              <w:rPr>
                <w:rFonts w:hint="eastAsia" w:ascii="宋体" w:hAnsi="宋体" w:cs="宋体"/>
                <w:color w:val="auto"/>
                <w:sz w:val="24"/>
              </w:rPr>
            </w:pPr>
            <w:r>
              <w:rPr>
                <w:rFonts w:hint="eastAsia" w:ascii="宋体" w:hAnsi="宋体" w:cs="宋体"/>
                <w:color w:val="auto"/>
                <w:sz w:val="24"/>
              </w:rPr>
              <w:t>分包</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562767C">
            <w:pPr>
              <w:pStyle w:val="12"/>
              <w:wordWrap w:val="0"/>
              <w:spacing w:before="0" w:beforeAutospacing="0" w:after="0" w:afterAutospacing="0" w:line="240" w:lineRule="auto"/>
              <w:rPr>
                <w:rFonts w:hint="eastAsia" w:cs="宋体"/>
                <w:color w:val="auto"/>
                <w:kern w:val="2"/>
              </w:rPr>
            </w:pPr>
            <w:r>
              <w:rPr>
                <w:rFonts w:hint="eastAsia" w:cs="宋体"/>
                <w:color w:val="auto"/>
                <w:kern w:val="2"/>
              </w:rPr>
              <w:t>不允许</w:t>
            </w:r>
          </w:p>
        </w:tc>
      </w:tr>
      <w:tr w14:paraId="7563DAF3">
        <w:tblPrEx>
          <w:tblCellMar>
            <w:top w:w="0" w:type="dxa"/>
            <w:left w:w="108" w:type="dxa"/>
            <w:bottom w:w="0" w:type="dxa"/>
            <w:right w:w="108" w:type="dxa"/>
          </w:tblCellMar>
        </w:tblPrEx>
        <w:trPr>
          <w:trHeight w:val="451"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71C4DEE">
            <w:pPr>
              <w:jc w:val="center"/>
              <w:rPr>
                <w:rFonts w:hint="eastAsia" w:ascii="宋体" w:hAnsi="宋体" w:cs="宋体"/>
                <w:color w:val="auto"/>
                <w:sz w:val="24"/>
              </w:rPr>
            </w:pPr>
            <w:r>
              <w:rPr>
                <w:rFonts w:hint="eastAsia" w:ascii="宋体" w:hAnsi="宋体" w:cs="宋体"/>
                <w:color w:val="auto"/>
                <w:sz w:val="24"/>
              </w:rPr>
              <w:t>18</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214F8BC">
            <w:pPr>
              <w:spacing w:line="240" w:lineRule="auto"/>
              <w:jc w:val="center"/>
              <w:rPr>
                <w:rFonts w:hint="eastAsia" w:ascii="宋体" w:hAnsi="宋体" w:cs="宋体"/>
                <w:color w:val="auto"/>
                <w:sz w:val="24"/>
              </w:rPr>
            </w:pPr>
            <w:r>
              <w:rPr>
                <w:rFonts w:hint="eastAsia" w:ascii="宋体" w:hAnsi="宋体" w:cs="宋体"/>
                <w:color w:val="auto"/>
                <w:sz w:val="24"/>
              </w:rPr>
              <w:t>偏离</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AFEC767">
            <w:pPr>
              <w:pStyle w:val="12"/>
              <w:wordWrap w:val="0"/>
              <w:spacing w:before="0" w:beforeAutospacing="0" w:after="0" w:afterAutospacing="0" w:line="240" w:lineRule="auto"/>
              <w:rPr>
                <w:rFonts w:hint="eastAsia" w:cs="宋体" w:eastAsiaTheme="minorEastAsia"/>
                <w:color w:val="auto"/>
                <w:kern w:val="2"/>
                <w:lang w:val="en-US" w:eastAsia="zh-CN"/>
              </w:rPr>
            </w:pPr>
            <w:r>
              <w:rPr>
                <w:rFonts w:hint="eastAsia" w:cs="宋体"/>
                <w:color w:val="auto"/>
                <w:kern w:val="2"/>
              </w:rPr>
              <w:t>允许</w:t>
            </w:r>
          </w:p>
        </w:tc>
      </w:tr>
      <w:tr w14:paraId="7AC5D0D2">
        <w:tblPrEx>
          <w:tblCellMar>
            <w:top w:w="0" w:type="dxa"/>
            <w:left w:w="108" w:type="dxa"/>
            <w:bottom w:w="0" w:type="dxa"/>
            <w:right w:w="108" w:type="dxa"/>
          </w:tblCellMar>
        </w:tblPrEx>
        <w:trPr>
          <w:trHeight w:val="689"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74BF344">
            <w:pPr>
              <w:adjustRightInd w:val="0"/>
              <w:jc w:val="center"/>
              <w:textAlignment w:val="baseline"/>
              <w:rPr>
                <w:rFonts w:hint="eastAsia" w:ascii="宋体" w:hAnsi="宋体" w:cs="宋体"/>
                <w:color w:val="auto"/>
                <w:sz w:val="24"/>
              </w:rPr>
            </w:pPr>
            <w:r>
              <w:rPr>
                <w:rFonts w:hint="eastAsia" w:ascii="宋体" w:hAnsi="宋体" w:cs="宋体"/>
                <w:color w:val="auto"/>
                <w:sz w:val="24"/>
              </w:rPr>
              <w:t>19</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5F843834">
            <w:pPr>
              <w:adjustRightInd w:val="0"/>
              <w:spacing w:line="240" w:lineRule="auto"/>
              <w:jc w:val="center"/>
              <w:textAlignment w:val="baseline"/>
              <w:rPr>
                <w:rFonts w:hint="eastAsia" w:ascii="宋体" w:hAnsi="宋体" w:cs="宋体"/>
                <w:color w:val="auto"/>
                <w:sz w:val="24"/>
              </w:rPr>
            </w:pPr>
            <w:r>
              <w:rPr>
                <w:rFonts w:hint="eastAsia" w:ascii="宋体" w:hAnsi="宋体" w:eastAsia="宋体" w:cs="宋体"/>
                <w:color w:val="auto"/>
                <w:sz w:val="24"/>
              </w:rPr>
              <w:t>构成招标文件的其他材料</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D6E8095">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招标文件的补充文件（如有）</w:t>
            </w:r>
          </w:p>
        </w:tc>
      </w:tr>
      <w:tr w14:paraId="04D958A5">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C506D64">
            <w:pPr>
              <w:adjustRightInd w:val="0"/>
              <w:jc w:val="center"/>
              <w:textAlignment w:val="baseline"/>
              <w:rPr>
                <w:rFonts w:hint="eastAsia" w:ascii="宋体" w:hAnsi="宋体" w:cs="宋体"/>
                <w:color w:val="auto"/>
                <w:sz w:val="24"/>
              </w:rPr>
            </w:pPr>
            <w:r>
              <w:rPr>
                <w:rFonts w:hint="eastAsia" w:ascii="宋体" w:hAnsi="宋体" w:cs="宋体"/>
                <w:color w:val="auto"/>
                <w:sz w:val="24"/>
              </w:rPr>
              <w:t>20</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D924C85">
            <w:pPr>
              <w:adjustRightInd w:val="0"/>
              <w:jc w:val="center"/>
              <w:textAlignment w:val="baseline"/>
              <w:rPr>
                <w:rFonts w:hint="eastAsia" w:ascii="宋体" w:hAnsi="宋体" w:cs="宋体"/>
                <w:color w:val="auto"/>
                <w:sz w:val="24"/>
              </w:rPr>
            </w:pPr>
            <w:r>
              <w:rPr>
                <w:rFonts w:hint="eastAsia" w:ascii="宋体" w:hAnsi="宋体" w:cs="宋体"/>
                <w:color w:val="auto"/>
                <w:sz w:val="24"/>
              </w:rPr>
              <w:t>招标文件澄清</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FEC6375">
            <w:pPr>
              <w:pStyle w:val="12"/>
              <w:wordWrap w:val="0"/>
              <w:spacing w:before="0" w:beforeAutospacing="0" w:after="0" w:afterAutospacing="0" w:line="360" w:lineRule="auto"/>
              <w:rPr>
                <w:rFonts w:hint="eastAsia" w:cs="宋体"/>
                <w:color w:val="auto"/>
                <w:kern w:val="2"/>
              </w:rPr>
            </w:pPr>
            <w:r>
              <w:rPr>
                <w:rFonts w:hint="eastAsia" w:cs="宋体"/>
                <w:color w:val="auto"/>
                <w:kern w:val="2"/>
              </w:rPr>
              <w:t>时间：投标截止时间15日前</w:t>
            </w:r>
          </w:p>
          <w:p w14:paraId="7E45F18C">
            <w:pPr>
              <w:pStyle w:val="12"/>
              <w:wordWrap w:val="0"/>
              <w:spacing w:before="0" w:beforeAutospacing="0" w:after="0" w:afterAutospacing="0" w:line="360" w:lineRule="auto"/>
              <w:rPr>
                <w:rFonts w:hint="eastAsia" w:cs="宋体"/>
                <w:color w:val="auto"/>
                <w:kern w:val="2"/>
              </w:rPr>
            </w:pPr>
            <w:r>
              <w:rPr>
                <w:rFonts w:hint="eastAsia" w:cs="宋体"/>
                <w:color w:val="auto"/>
                <w:kern w:val="2"/>
              </w:rPr>
              <w:t>形式：以书面形式提交采购代理公司（加盖单位公章和法定代表人或委托代理人签字）并在三门峡市公共资源交易系统中提出质询。</w:t>
            </w:r>
          </w:p>
        </w:tc>
      </w:tr>
      <w:tr w14:paraId="4A625CB7">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1ED9251">
            <w:pPr>
              <w:adjustRightInd w:val="0"/>
              <w:jc w:val="center"/>
              <w:textAlignment w:val="baseline"/>
              <w:rPr>
                <w:rFonts w:hint="eastAsia" w:ascii="宋体" w:hAnsi="宋体" w:cs="宋体"/>
                <w:color w:val="auto"/>
                <w:sz w:val="24"/>
              </w:rPr>
            </w:pPr>
            <w:r>
              <w:rPr>
                <w:rFonts w:hint="eastAsia" w:ascii="宋体" w:hAnsi="宋体" w:cs="宋体"/>
                <w:color w:val="auto"/>
                <w:sz w:val="24"/>
              </w:rPr>
              <w:t>21</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8FD01A1">
            <w:pPr>
              <w:adjustRightInd w:val="0"/>
              <w:jc w:val="center"/>
              <w:textAlignment w:val="baseline"/>
              <w:rPr>
                <w:rFonts w:hint="eastAsia" w:ascii="宋体" w:hAnsi="宋体" w:cs="宋体"/>
                <w:color w:val="auto"/>
                <w:sz w:val="24"/>
              </w:rPr>
            </w:pPr>
            <w:r>
              <w:rPr>
                <w:rFonts w:hint="eastAsia" w:ascii="宋体" w:hAnsi="宋体" w:cs="宋体"/>
                <w:color w:val="auto"/>
                <w:sz w:val="24"/>
              </w:rPr>
              <w:t>招标文件修改发出的形式</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4D4BFEE">
            <w:pPr>
              <w:pStyle w:val="12"/>
              <w:wordWrap w:val="0"/>
              <w:spacing w:before="0" w:beforeAutospacing="0" w:after="0" w:afterAutospacing="0" w:line="360" w:lineRule="auto"/>
              <w:rPr>
                <w:rFonts w:hint="eastAsia" w:cs="宋体"/>
                <w:color w:val="auto"/>
                <w:kern w:val="2"/>
              </w:rPr>
            </w:pPr>
            <w:r>
              <w:rPr>
                <w:rFonts w:hint="eastAsia" w:cs="宋体"/>
                <w:color w:val="auto"/>
                <w:kern w:val="2"/>
              </w:rPr>
              <w:t>招标文件修改内容都将在发布招标公告的网址上公布</w:t>
            </w:r>
          </w:p>
        </w:tc>
      </w:tr>
      <w:tr w14:paraId="45601EA3">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1E53541">
            <w:pPr>
              <w:adjustRightInd w:val="0"/>
              <w:jc w:val="center"/>
              <w:textAlignment w:val="baseline"/>
              <w:rPr>
                <w:rFonts w:ascii="宋体" w:hAnsi="宋体" w:cs="宋体"/>
                <w:color w:val="auto"/>
                <w:sz w:val="24"/>
              </w:rPr>
            </w:pPr>
            <w:r>
              <w:rPr>
                <w:rFonts w:hint="eastAsia" w:ascii="宋体" w:hAnsi="宋体" w:cs="宋体"/>
                <w:color w:val="auto"/>
                <w:sz w:val="24"/>
              </w:rPr>
              <w:t>22</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60DFD47">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确认收到招标文件澄清或者修改</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57D5B3D">
            <w:pPr>
              <w:autoSpaceDE w:val="0"/>
              <w:autoSpaceDN w:val="0"/>
              <w:spacing w:line="360" w:lineRule="auto"/>
              <w:rPr>
                <w:rFonts w:hint="eastAsia" w:ascii="宋体" w:hAnsi="宋体" w:cs="宋体"/>
                <w:color w:val="auto"/>
                <w:sz w:val="24"/>
              </w:rPr>
            </w:pPr>
            <w:r>
              <w:rPr>
                <w:rFonts w:hint="eastAsia" w:ascii="宋体" w:hAnsi="宋体" w:cs="宋体"/>
                <w:color w:val="auto"/>
                <w:sz w:val="24"/>
              </w:rPr>
              <w:t>供应商在投标截止时间前须自行查看在原公告发布媒体上发布的澄清或修改公告，因供应商未及时查看而造成的后果自负。</w:t>
            </w:r>
          </w:p>
        </w:tc>
      </w:tr>
      <w:tr w14:paraId="6D088856">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DBEDA5D">
            <w:pPr>
              <w:adjustRightInd w:val="0"/>
              <w:jc w:val="center"/>
              <w:textAlignment w:val="baseline"/>
              <w:rPr>
                <w:rFonts w:ascii="宋体" w:hAnsi="宋体" w:cs="宋体"/>
                <w:color w:val="auto"/>
                <w:sz w:val="24"/>
              </w:rPr>
            </w:pPr>
            <w:r>
              <w:rPr>
                <w:rFonts w:hint="eastAsia" w:ascii="宋体" w:hAnsi="宋体" w:cs="宋体"/>
                <w:color w:val="auto"/>
                <w:sz w:val="24"/>
              </w:rPr>
              <w:t>23</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0B74E0D4">
            <w:pPr>
              <w:adjustRightInd w:val="0"/>
              <w:jc w:val="center"/>
              <w:textAlignment w:val="baseline"/>
              <w:rPr>
                <w:rFonts w:hint="eastAsia" w:ascii="宋体" w:hAnsi="宋体" w:cs="宋体"/>
                <w:color w:val="auto"/>
                <w:sz w:val="24"/>
              </w:rPr>
            </w:pPr>
            <w:r>
              <w:rPr>
                <w:rFonts w:hint="eastAsia" w:ascii="宋体" w:hAnsi="宋体" w:cs="宋体"/>
                <w:color w:val="auto"/>
                <w:sz w:val="24"/>
              </w:rPr>
              <w:t>构成投标文件的其他资料</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2DCB86C6">
            <w:pPr>
              <w:pStyle w:val="12"/>
              <w:wordWrap w:val="0"/>
              <w:spacing w:before="0" w:beforeAutospacing="0" w:after="0" w:afterAutospacing="0" w:line="360" w:lineRule="auto"/>
              <w:rPr>
                <w:rFonts w:hint="eastAsia" w:cs="宋体"/>
                <w:color w:val="auto"/>
                <w:kern w:val="2"/>
              </w:rPr>
            </w:pPr>
            <w:r>
              <w:rPr>
                <w:rFonts w:hint="eastAsia" w:cs="宋体"/>
                <w:color w:val="auto"/>
                <w:kern w:val="2"/>
              </w:rPr>
              <w:t>按招标文件要求</w:t>
            </w:r>
          </w:p>
        </w:tc>
      </w:tr>
      <w:tr w14:paraId="300AB89F">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BB8896E">
            <w:pPr>
              <w:jc w:val="center"/>
              <w:rPr>
                <w:rFonts w:ascii="宋体" w:hAnsi="宋体" w:cs="宋体"/>
                <w:color w:val="auto"/>
                <w:sz w:val="24"/>
              </w:rPr>
            </w:pPr>
            <w:r>
              <w:rPr>
                <w:rFonts w:hint="eastAsia" w:ascii="宋体" w:hAnsi="宋体" w:cs="宋体"/>
                <w:color w:val="auto"/>
                <w:sz w:val="24"/>
              </w:rPr>
              <w:t>24</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C4D4A98">
            <w:pPr>
              <w:spacing w:line="580" w:lineRule="exact"/>
              <w:jc w:val="center"/>
              <w:rPr>
                <w:rFonts w:hint="eastAsia" w:ascii="宋体" w:hAnsi="宋体" w:cs="宋体"/>
                <w:color w:val="auto"/>
                <w:sz w:val="24"/>
              </w:rPr>
            </w:pPr>
            <w:r>
              <w:rPr>
                <w:rFonts w:hint="eastAsia" w:ascii="宋体" w:hAnsi="宋体" w:cs="宋体"/>
                <w:color w:val="auto"/>
                <w:sz w:val="24"/>
              </w:rPr>
              <w:t>最高投标限价</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8021EDC">
            <w:pPr>
              <w:pStyle w:val="12"/>
              <w:wordWrap w:val="0"/>
              <w:spacing w:before="0" w:beforeAutospacing="0" w:after="0" w:afterAutospacing="0"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¥2095000.00元</w:t>
            </w:r>
          </w:p>
          <w:p w14:paraId="5A8CBBF2">
            <w:pPr>
              <w:pStyle w:val="12"/>
              <w:wordWrap w:val="0"/>
              <w:spacing w:before="0" w:beforeAutospacing="0" w:after="0" w:afterAutospacing="0" w:line="360" w:lineRule="auto"/>
              <w:rPr>
                <w:rFonts w:hint="eastAsia" w:cs="宋体"/>
                <w:color w:val="auto"/>
                <w:kern w:val="2"/>
              </w:rPr>
            </w:pPr>
            <w:r>
              <w:rPr>
                <w:rFonts w:hint="eastAsia" w:ascii="宋体" w:hAnsi="宋体" w:eastAsia="宋体" w:cs="宋体"/>
                <w:color w:val="auto"/>
                <w:kern w:val="2"/>
                <w:sz w:val="24"/>
                <w:szCs w:val="24"/>
                <w:lang w:val="en-US" w:eastAsia="zh-CN" w:bidi="ar-SA"/>
              </w:rPr>
              <w:t>供应商的投标报价不得超过最高投标限价，否则视为无效报价</w:t>
            </w:r>
          </w:p>
        </w:tc>
      </w:tr>
      <w:tr w14:paraId="3C369E02">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3954CA7">
            <w:pPr>
              <w:jc w:val="center"/>
              <w:rPr>
                <w:rFonts w:ascii="宋体" w:hAnsi="宋体" w:cs="宋体"/>
                <w:color w:val="auto"/>
                <w:sz w:val="24"/>
              </w:rPr>
            </w:pPr>
            <w:r>
              <w:rPr>
                <w:rFonts w:hint="eastAsia" w:ascii="宋体" w:hAnsi="宋体" w:cs="宋体"/>
                <w:color w:val="auto"/>
                <w:sz w:val="24"/>
              </w:rPr>
              <w:t>25</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58D374F">
            <w:pPr>
              <w:adjustRightInd w:val="0"/>
              <w:jc w:val="center"/>
              <w:textAlignment w:val="baseline"/>
              <w:rPr>
                <w:rFonts w:hint="eastAsia" w:ascii="宋体" w:hAnsi="宋体" w:cs="宋体"/>
                <w:color w:val="auto"/>
                <w:sz w:val="24"/>
              </w:rPr>
            </w:pPr>
            <w:r>
              <w:rPr>
                <w:rFonts w:hint="eastAsia" w:ascii="宋体" w:hAnsi="宋体" w:cs="宋体"/>
                <w:color w:val="auto"/>
                <w:sz w:val="24"/>
              </w:rPr>
              <w:t>投标报价的其他要求</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C134B3C">
            <w:pPr>
              <w:pStyle w:val="12"/>
              <w:wordWrap w:val="0"/>
              <w:spacing w:before="0" w:beforeAutospacing="0" w:after="0" w:afterAutospacing="0" w:line="360" w:lineRule="auto"/>
              <w:rPr>
                <w:rFonts w:hint="eastAsia" w:cs="宋体"/>
                <w:color w:val="auto"/>
                <w:kern w:val="2"/>
              </w:rPr>
            </w:pPr>
            <w:r>
              <w:rPr>
                <w:rFonts w:hint="eastAsia" w:cs="宋体"/>
                <w:color w:val="auto"/>
                <w:kern w:val="2"/>
              </w:rPr>
              <w:t>（1）投标报价应包含本项目所有的采购内容，同时包含本项目供货、运输、保险、利润、税金、售后服务等所有费用；</w:t>
            </w:r>
          </w:p>
          <w:p w14:paraId="7CF411F1">
            <w:pPr>
              <w:pStyle w:val="12"/>
              <w:wordWrap w:val="0"/>
              <w:spacing w:before="0" w:beforeAutospacing="0" w:after="0" w:afterAutospacing="0" w:line="360" w:lineRule="auto"/>
              <w:rPr>
                <w:rFonts w:hint="eastAsia" w:cs="宋体"/>
                <w:color w:val="auto"/>
                <w:kern w:val="2"/>
              </w:rPr>
            </w:pPr>
            <w:r>
              <w:rPr>
                <w:rFonts w:hint="eastAsia" w:cs="宋体"/>
                <w:color w:val="auto"/>
                <w:kern w:val="2"/>
              </w:rPr>
              <w:t>（2）投标报价应完全包括招标文件规定的采购范围，不得任意分割或合并所规定的分项；</w:t>
            </w:r>
          </w:p>
          <w:p w14:paraId="2635BF66">
            <w:pPr>
              <w:pStyle w:val="12"/>
              <w:wordWrap w:val="0"/>
              <w:spacing w:before="0" w:beforeAutospacing="0" w:after="0" w:afterAutospacing="0" w:line="360" w:lineRule="auto"/>
              <w:rPr>
                <w:rFonts w:hint="eastAsia" w:cs="宋体"/>
                <w:color w:val="auto"/>
                <w:kern w:val="2"/>
              </w:rPr>
            </w:pPr>
            <w:r>
              <w:rPr>
                <w:rFonts w:hint="eastAsia" w:cs="宋体"/>
                <w:color w:val="auto"/>
                <w:kern w:val="2"/>
              </w:rPr>
              <w:t>（3）供应商对每种货物只允许有一个报价，</w:t>
            </w:r>
            <w:r>
              <w:rPr>
                <w:rFonts w:hint="eastAsia" w:cs="宋体"/>
                <w:color w:val="auto"/>
                <w:kern w:val="2"/>
                <w:lang w:eastAsia="zh-CN"/>
              </w:rPr>
              <w:t>采购人</w:t>
            </w:r>
            <w:r>
              <w:rPr>
                <w:rFonts w:hint="eastAsia" w:cs="宋体"/>
                <w:color w:val="auto"/>
                <w:kern w:val="2"/>
              </w:rPr>
              <w:t>和采购代理机构不接受有任何选择报价的投标。（注：本项目不允许提交备选方案）；</w:t>
            </w:r>
          </w:p>
          <w:p w14:paraId="73D4FB90">
            <w:pPr>
              <w:pStyle w:val="12"/>
              <w:wordWrap w:val="0"/>
              <w:spacing w:before="0" w:beforeAutospacing="0" w:after="0" w:afterAutospacing="0" w:line="360" w:lineRule="auto"/>
              <w:rPr>
                <w:rFonts w:hint="eastAsia" w:cs="宋体"/>
                <w:color w:val="auto"/>
                <w:kern w:val="2"/>
              </w:rPr>
            </w:pPr>
            <w:r>
              <w:rPr>
                <w:rFonts w:hint="eastAsia" w:cs="宋体"/>
                <w:color w:val="auto"/>
                <w:kern w:val="2"/>
              </w:rPr>
              <w:t>（4）供应商不得以任何理由在开标后对投标报价予以修改，报价在投标有效期内是固定的，不因任何原因而改变。任何包含价格调整要求和条件的投标，将被视为非实质性响应投标而予以拒绝；</w:t>
            </w:r>
          </w:p>
        </w:tc>
      </w:tr>
      <w:tr w14:paraId="7F459539">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08F5A8A">
            <w:pPr>
              <w:jc w:val="center"/>
              <w:rPr>
                <w:rFonts w:ascii="宋体" w:hAnsi="宋体" w:cs="宋体"/>
                <w:color w:val="auto"/>
                <w:sz w:val="24"/>
              </w:rPr>
            </w:pPr>
            <w:r>
              <w:rPr>
                <w:rFonts w:hint="eastAsia" w:ascii="宋体" w:hAnsi="宋体" w:cs="宋体"/>
                <w:color w:val="auto"/>
                <w:sz w:val="24"/>
              </w:rPr>
              <w:t>26</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5FE7EE9">
            <w:pPr>
              <w:jc w:val="center"/>
              <w:rPr>
                <w:rFonts w:hint="eastAsia" w:ascii="宋体" w:hAnsi="宋体" w:cs="宋体"/>
                <w:color w:val="auto"/>
                <w:sz w:val="24"/>
              </w:rPr>
            </w:pPr>
            <w:r>
              <w:rPr>
                <w:rFonts w:hint="eastAsia" w:ascii="宋体" w:hAnsi="宋体" w:cs="宋体"/>
                <w:color w:val="auto"/>
                <w:sz w:val="24"/>
              </w:rPr>
              <w:t>投标有效期</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2F355B9">
            <w:pPr>
              <w:pStyle w:val="12"/>
              <w:wordWrap w:val="0"/>
              <w:spacing w:before="0" w:beforeAutospacing="0" w:after="0" w:afterAutospacing="0" w:line="360" w:lineRule="auto"/>
              <w:rPr>
                <w:rFonts w:hint="eastAsia" w:cs="宋体"/>
                <w:color w:val="auto"/>
                <w:kern w:val="2"/>
              </w:rPr>
            </w:pPr>
            <w:r>
              <w:rPr>
                <w:rFonts w:hint="eastAsia" w:cs="宋体"/>
                <w:color w:val="auto"/>
                <w:kern w:val="2"/>
              </w:rPr>
              <w:t>60日历天（从投标截止之日算起）</w:t>
            </w:r>
          </w:p>
        </w:tc>
      </w:tr>
      <w:tr w14:paraId="1F971880">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9ECBC0C">
            <w:pPr>
              <w:jc w:val="center"/>
              <w:rPr>
                <w:rFonts w:ascii="宋体" w:hAnsi="宋体" w:cs="宋体"/>
                <w:color w:val="auto"/>
                <w:sz w:val="24"/>
              </w:rPr>
            </w:pPr>
            <w:r>
              <w:rPr>
                <w:rFonts w:hint="eastAsia" w:ascii="宋体" w:hAnsi="宋体" w:cs="宋体"/>
                <w:color w:val="auto"/>
                <w:sz w:val="24"/>
              </w:rPr>
              <w:t>27</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1EBFCA2">
            <w:pPr>
              <w:widowControl/>
              <w:spacing w:line="360" w:lineRule="auto"/>
              <w:jc w:val="center"/>
              <w:rPr>
                <w:rFonts w:hint="eastAsia" w:ascii="宋体" w:hAnsi="宋体" w:cs="宋体"/>
                <w:color w:val="auto"/>
                <w:sz w:val="24"/>
              </w:rPr>
            </w:pPr>
            <w:r>
              <w:rPr>
                <w:rFonts w:hint="eastAsia" w:ascii="宋体" w:hAnsi="宋体" w:cs="宋体"/>
                <w:color w:val="auto"/>
                <w:sz w:val="24"/>
              </w:rPr>
              <w:t>投标保证金</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0A85C567">
            <w:pPr>
              <w:pStyle w:val="12"/>
              <w:wordWrap w:val="0"/>
              <w:spacing w:before="0" w:beforeAutospacing="0" w:after="0" w:afterAutospacing="0" w:line="360" w:lineRule="auto"/>
              <w:rPr>
                <w:rFonts w:hint="eastAsia" w:cs="宋体"/>
                <w:color w:val="auto"/>
                <w:kern w:val="2"/>
              </w:rPr>
            </w:pPr>
            <w:r>
              <w:rPr>
                <w:rFonts w:hint="eastAsia" w:cs="宋体"/>
                <w:color w:val="auto"/>
                <w:kern w:val="2"/>
              </w:rPr>
              <w:t>按照《河南省财政厅关于优化政府采购营商环境有关问题的通知》（豫财购[2019]4号文）的要求本项目不再收取投标保证金，供应商须提供投标承诺函。</w:t>
            </w:r>
          </w:p>
        </w:tc>
      </w:tr>
      <w:tr w14:paraId="1ACD4FB4">
        <w:tblPrEx>
          <w:tblCellMar>
            <w:top w:w="0" w:type="dxa"/>
            <w:left w:w="108" w:type="dxa"/>
            <w:bottom w:w="0" w:type="dxa"/>
            <w:right w:w="108" w:type="dxa"/>
          </w:tblCellMar>
        </w:tblPrEx>
        <w:trPr>
          <w:trHeight w:val="931"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25D3857">
            <w:pPr>
              <w:jc w:val="center"/>
              <w:rPr>
                <w:rFonts w:hint="eastAsia" w:ascii="宋体" w:hAnsi="宋体" w:cs="宋体" w:eastAsiaTheme="minorEastAsia"/>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8</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90CC0D5">
            <w:pPr>
              <w:adjustRightInd w:val="0"/>
              <w:jc w:val="center"/>
              <w:textAlignment w:val="baseline"/>
              <w:rPr>
                <w:rFonts w:hint="eastAsia" w:ascii="宋体" w:hAnsi="宋体" w:cs="宋体"/>
                <w:color w:val="auto"/>
                <w:sz w:val="24"/>
              </w:rPr>
            </w:pPr>
            <w:r>
              <w:rPr>
                <w:rFonts w:hint="eastAsia" w:ascii="宋体" w:hAnsi="宋体" w:cs="宋体"/>
                <w:color w:val="auto"/>
                <w:sz w:val="24"/>
              </w:rPr>
              <w:t>近年完成的类似项目情况的时间要求</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CB39828">
            <w:pPr>
              <w:pStyle w:val="12"/>
              <w:wordWrap w:val="0"/>
              <w:spacing w:before="0" w:beforeAutospacing="0" w:after="0" w:afterAutospacing="0" w:line="360" w:lineRule="auto"/>
              <w:rPr>
                <w:rFonts w:hint="eastAsia" w:cs="宋体" w:eastAsiaTheme="minorEastAsia"/>
                <w:color w:val="auto"/>
                <w:kern w:val="2"/>
                <w:lang w:eastAsia="zh-CN"/>
              </w:rPr>
            </w:pPr>
            <w:r>
              <w:rPr>
                <w:rFonts w:hint="eastAsia" w:cs="宋体"/>
                <w:color w:val="auto"/>
                <w:kern w:val="2"/>
              </w:rPr>
              <w:t>202</w:t>
            </w:r>
            <w:r>
              <w:rPr>
                <w:rFonts w:hint="eastAsia" w:cs="宋体"/>
                <w:color w:val="auto"/>
                <w:kern w:val="2"/>
                <w:lang w:val="en-US" w:eastAsia="zh-CN"/>
              </w:rPr>
              <w:t>1</w:t>
            </w:r>
            <w:r>
              <w:rPr>
                <w:rFonts w:hint="eastAsia" w:cs="宋体"/>
                <w:color w:val="auto"/>
                <w:kern w:val="2"/>
              </w:rPr>
              <w:t>年1月1 日以来</w:t>
            </w:r>
            <w:r>
              <w:rPr>
                <w:rFonts w:hint="eastAsia" w:cs="宋体"/>
                <w:color w:val="auto"/>
                <w:kern w:val="2"/>
                <w:lang w:eastAsia="zh-CN"/>
              </w:rPr>
              <w:t>（</w:t>
            </w:r>
            <w:r>
              <w:rPr>
                <w:rFonts w:hint="eastAsia" w:cs="宋体"/>
                <w:color w:val="auto"/>
                <w:kern w:val="2"/>
                <w:lang w:val="en-US" w:eastAsia="zh-CN"/>
              </w:rPr>
              <w:t>如有</w:t>
            </w:r>
            <w:r>
              <w:rPr>
                <w:rFonts w:hint="eastAsia" w:cs="宋体"/>
                <w:color w:val="auto"/>
                <w:kern w:val="2"/>
                <w:lang w:eastAsia="zh-CN"/>
              </w:rPr>
              <w:t>）</w:t>
            </w:r>
          </w:p>
        </w:tc>
      </w:tr>
      <w:tr w14:paraId="3C8914E8">
        <w:tblPrEx>
          <w:tblCellMar>
            <w:top w:w="0" w:type="dxa"/>
            <w:left w:w="108" w:type="dxa"/>
            <w:bottom w:w="0" w:type="dxa"/>
            <w:right w:w="108" w:type="dxa"/>
          </w:tblCellMar>
        </w:tblPrEx>
        <w:trPr>
          <w:trHeight w:val="799"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738519B">
            <w:pPr>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29</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7EE6402">
            <w:pPr>
              <w:jc w:val="center"/>
              <w:rPr>
                <w:rFonts w:hint="eastAsia" w:ascii="宋体" w:hAnsi="宋体" w:cs="宋体"/>
                <w:color w:val="auto"/>
                <w:sz w:val="24"/>
              </w:rPr>
            </w:pPr>
            <w:r>
              <w:rPr>
                <w:rFonts w:hint="eastAsia" w:ascii="宋体" w:hAnsi="宋体" w:cs="宋体"/>
                <w:color w:val="auto"/>
                <w:sz w:val="24"/>
              </w:rPr>
              <w:t>是否允许递交备选投标方案</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89857D6">
            <w:pPr>
              <w:pStyle w:val="12"/>
              <w:wordWrap w:val="0"/>
              <w:spacing w:before="0" w:beforeAutospacing="0" w:after="0" w:afterAutospacing="0" w:line="360" w:lineRule="auto"/>
              <w:rPr>
                <w:rFonts w:hint="eastAsia" w:cs="宋体"/>
                <w:color w:val="auto"/>
                <w:kern w:val="2"/>
              </w:rPr>
            </w:pPr>
            <w:r>
              <w:rPr>
                <w:rFonts w:hint="eastAsia" w:cs="宋体"/>
                <w:color w:val="auto"/>
                <w:kern w:val="2"/>
              </w:rPr>
              <w:t>不允许</w:t>
            </w:r>
          </w:p>
        </w:tc>
      </w:tr>
      <w:tr w14:paraId="358FA373">
        <w:tblPrEx>
          <w:tblCellMar>
            <w:top w:w="0" w:type="dxa"/>
            <w:left w:w="108" w:type="dxa"/>
            <w:bottom w:w="0" w:type="dxa"/>
            <w:right w:w="108" w:type="dxa"/>
          </w:tblCellMar>
        </w:tblPrEx>
        <w:trPr>
          <w:trHeight w:val="3875"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F6DEB7A">
            <w:pPr>
              <w:jc w:val="center"/>
              <w:rPr>
                <w:rFonts w:hint="eastAsia" w:ascii="宋体" w:hAnsi="宋体" w:cs="宋体" w:eastAsiaTheme="minorEastAsia"/>
                <w:color w:val="auto"/>
                <w:sz w:val="24"/>
                <w:lang w:eastAsia="zh-CN"/>
              </w:rPr>
            </w:pPr>
            <w:r>
              <w:rPr>
                <w:rFonts w:hint="eastAsia" w:ascii="宋体" w:hAnsi="宋体" w:cs="宋体"/>
                <w:color w:val="auto"/>
                <w:sz w:val="24"/>
              </w:rPr>
              <w:t>3</w:t>
            </w:r>
            <w:r>
              <w:rPr>
                <w:rFonts w:hint="eastAsia" w:ascii="宋体" w:hAnsi="宋体" w:cs="宋体"/>
                <w:color w:val="auto"/>
                <w:sz w:val="24"/>
                <w:lang w:val="en-US" w:eastAsia="zh-CN"/>
              </w:rPr>
              <w:t>0</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2635E5F">
            <w:pPr>
              <w:jc w:val="center"/>
              <w:rPr>
                <w:rFonts w:hint="eastAsia" w:ascii="宋体" w:hAnsi="宋体" w:cs="宋体"/>
                <w:color w:val="auto"/>
                <w:sz w:val="24"/>
              </w:rPr>
            </w:pPr>
            <w:r>
              <w:rPr>
                <w:rFonts w:hint="eastAsia" w:ascii="宋体" w:hAnsi="宋体" w:cs="宋体"/>
                <w:color w:val="auto"/>
                <w:sz w:val="24"/>
              </w:rPr>
              <w:t>电子投标文件上传</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1CA00AF">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投标供应商所上传的电子化投标文件，应是通过中心电子化投标文件制作系统制作的，经过签章和加密后生成的电子版投标文件。上传投标文件格式后缀为SMXTF。上传完后，为了验证CA锁是否正常，建议模拟解密下。</w:t>
            </w:r>
          </w:p>
          <w:p w14:paraId="63607F4A">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注：投标人投报多个标段的，需要每个标段单独制作电子投标文件。</w:t>
            </w:r>
          </w:p>
          <w:p w14:paraId="1AA03090">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2、电子化投标文件应在投标截止时间前成功上传至三门峡市公共资源电子化交易系统。至投标截止时间止，仍未上传成功的电子化投标文件将不予接收。</w:t>
            </w:r>
          </w:p>
        </w:tc>
      </w:tr>
      <w:tr w14:paraId="474C7D7D">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9867FDB">
            <w:pPr>
              <w:jc w:val="center"/>
              <w:rPr>
                <w:rFonts w:hint="eastAsia" w:ascii="宋体" w:hAnsi="宋体" w:cs="宋体" w:eastAsiaTheme="minorEastAsia"/>
                <w:color w:val="auto"/>
                <w:sz w:val="24"/>
                <w:lang w:eastAsia="zh-CN"/>
              </w:rPr>
            </w:pPr>
            <w:r>
              <w:rPr>
                <w:rFonts w:hint="eastAsia" w:ascii="宋体" w:hAnsi="宋体" w:cs="宋体"/>
                <w:color w:val="auto"/>
                <w:sz w:val="24"/>
              </w:rPr>
              <w:t>3</w:t>
            </w:r>
            <w:r>
              <w:rPr>
                <w:rFonts w:hint="eastAsia" w:ascii="宋体" w:hAnsi="宋体" w:cs="宋体"/>
                <w:color w:val="auto"/>
                <w:sz w:val="24"/>
                <w:lang w:val="en-US" w:eastAsia="zh-CN"/>
              </w:rPr>
              <w:t>1</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37AC674">
            <w:pPr>
              <w:jc w:val="center"/>
              <w:rPr>
                <w:rFonts w:hint="eastAsia" w:ascii="宋体" w:hAnsi="宋体" w:cs="宋体"/>
                <w:color w:val="auto"/>
                <w:sz w:val="24"/>
              </w:rPr>
            </w:pPr>
            <w:r>
              <w:rPr>
                <w:rFonts w:hint="eastAsia" w:ascii="宋体" w:hAnsi="宋体" w:cs="宋体"/>
                <w:color w:val="auto"/>
                <w:sz w:val="24"/>
              </w:rPr>
              <w:t>签字或盖章要求</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CC6391A">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1、招标文件中要求法定代表人或授权委托人签字、盖章或签章的，投标供应商在进行电子化投标文件签章时，以签盖法定代表人电子签章为准。</w:t>
            </w:r>
          </w:p>
          <w:p w14:paraId="2C8C5FD3">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2、招标文件中要求加盖单位公章的，投标供应商在进行电子化投标文件盖章时，以加盖投标供应商的电子印章为准。</w:t>
            </w:r>
          </w:p>
        </w:tc>
      </w:tr>
      <w:tr w14:paraId="611DF3CE">
        <w:tblPrEx>
          <w:tblCellMar>
            <w:top w:w="0" w:type="dxa"/>
            <w:left w:w="108" w:type="dxa"/>
            <w:bottom w:w="0" w:type="dxa"/>
            <w:right w:w="108" w:type="dxa"/>
          </w:tblCellMar>
        </w:tblPrEx>
        <w:trPr>
          <w:trHeight w:val="872"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20F7913">
            <w:pPr>
              <w:jc w:val="center"/>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2</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D4F3246">
            <w:pPr>
              <w:adjustRightInd w:val="0"/>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投标文件递交截止时间</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3C5DD6F">
            <w:pPr>
              <w:pStyle w:val="12"/>
              <w:wordWrap w:val="0"/>
              <w:spacing w:before="0" w:beforeAutospacing="0" w:after="0" w:afterAutospacing="0"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2024年12月24日08时40分</w:t>
            </w:r>
          </w:p>
        </w:tc>
      </w:tr>
      <w:tr w14:paraId="4295AD15">
        <w:tblPrEx>
          <w:tblCellMar>
            <w:top w:w="0" w:type="dxa"/>
            <w:left w:w="108" w:type="dxa"/>
            <w:bottom w:w="0" w:type="dxa"/>
            <w:right w:w="108" w:type="dxa"/>
          </w:tblCellMar>
        </w:tblPrEx>
        <w:trPr>
          <w:trHeight w:val="709"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3253E15">
            <w:pPr>
              <w:jc w:val="center"/>
              <w:rPr>
                <w:rFonts w:hint="eastAsia" w:ascii="宋体" w:hAnsi="宋体" w:cs="宋体" w:eastAsiaTheme="minorEastAsia"/>
                <w:color w:val="auto"/>
                <w:sz w:val="24"/>
                <w:lang w:val="en-US" w:eastAsia="zh-CN"/>
              </w:rPr>
            </w:pPr>
            <w:r>
              <w:rPr>
                <w:rFonts w:hint="eastAsia" w:ascii="宋体" w:hAnsi="宋体" w:cs="宋体"/>
                <w:color w:val="auto"/>
                <w:sz w:val="24"/>
              </w:rPr>
              <w:t>3</w:t>
            </w:r>
            <w:r>
              <w:rPr>
                <w:rFonts w:hint="eastAsia" w:ascii="宋体" w:hAnsi="宋体" w:cs="宋体"/>
                <w:color w:val="auto"/>
                <w:sz w:val="24"/>
                <w:lang w:val="en-US" w:eastAsia="zh-CN"/>
              </w:rPr>
              <w:t>3</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9B19D4F">
            <w:pPr>
              <w:adjustRightInd w:val="0"/>
              <w:jc w:val="center"/>
              <w:textAlignment w:val="baseline"/>
              <w:rPr>
                <w:rFonts w:hint="eastAsia" w:ascii="宋体" w:hAnsi="宋体" w:cs="宋体"/>
                <w:color w:val="auto"/>
                <w:sz w:val="24"/>
              </w:rPr>
            </w:pPr>
            <w:r>
              <w:rPr>
                <w:rFonts w:hint="eastAsia" w:ascii="宋体" w:hAnsi="宋体" w:cs="宋体"/>
                <w:color w:val="auto"/>
                <w:sz w:val="24"/>
              </w:rPr>
              <w:t>投标文件是否退还</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27F703F">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否</w:t>
            </w:r>
          </w:p>
        </w:tc>
      </w:tr>
      <w:tr w14:paraId="706D55DC">
        <w:tblPrEx>
          <w:tblCellMar>
            <w:top w:w="0" w:type="dxa"/>
            <w:left w:w="108" w:type="dxa"/>
            <w:bottom w:w="0" w:type="dxa"/>
            <w:right w:w="108" w:type="dxa"/>
          </w:tblCellMar>
        </w:tblPrEx>
        <w:trPr>
          <w:trHeight w:val="1023"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2FC411C">
            <w:pPr>
              <w:jc w:val="center"/>
              <w:rPr>
                <w:rFonts w:hint="eastAsia" w:ascii="宋体" w:hAnsi="宋体" w:cs="宋体" w:eastAsiaTheme="minorEastAsia"/>
                <w:color w:val="auto"/>
                <w:sz w:val="24"/>
                <w:lang w:eastAsia="zh-CN"/>
              </w:rPr>
            </w:pPr>
            <w:r>
              <w:rPr>
                <w:rFonts w:hint="eastAsia" w:ascii="宋体" w:hAnsi="宋体" w:cs="宋体"/>
                <w:color w:val="auto"/>
                <w:sz w:val="24"/>
              </w:rPr>
              <w:t>3</w:t>
            </w:r>
            <w:r>
              <w:rPr>
                <w:rFonts w:hint="eastAsia" w:ascii="宋体" w:hAnsi="宋体" w:cs="宋体"/>
                <w:color w:val="auto"/>
                <w:sz w:val="24"/>
                <w:lang w:val="en-US" w:eastAsia="zh-CN"/>
              </w:rPr>
              <w:t>4</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0AD8C6A">
            <w:pPr>
              <w:adjustRightInd w:val="0"/>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开标时间和地点</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8B1A3B4">
            <w:pPr>
              <w:pStyle w:val="12"/>
              <w:wordWrap w:val="0"/>
              <w:spacing w:before="0" w:beforeAutospacing="0" w:after="0" w:afterAutospacing="0" w:line="360" w:lineRule="auto"/>
              <w:jc w:val="both"/>
              <w:rPr>
                <w:rFonts w:hint="eastAsia" w:ascii="宋体" w:hAnsi="宋体" w:eastAsia="宋体" w:cs="宋体"/>
                <w:color w:val="0000FF"/>
                <w:kern w:val="2"/>
                <w:sz w:val="24"/>
                <w:szCs w:val="24"/>
                <w:lang w:val="en-US" w:eastAsia="zh-CN" w:bidi="ar-SA"/>
              </w:rPr>
            </w:pPr>
            <w:r>
              <w:rPr>
                <w:rFonts w:hint="eastAsia" w:ascii="宋体" w:hAnsi="宋体" w:eastAsia="宋体" w:cs="宋体"/>
                <w:color w:val="auto"/>
                <w:kern w:val="2"/>
                <w:sz w:val="24"/>
                <w:szCs w:val="24"/>
                <w:lang w:val="en-US" w:eastAsia="zh-CN" w:bidi="ar-SA"/>
              </w:rPr>
              <w:t>时间：2024年12月24日08时40分</w:t>
            </w:r>
          </w:p>
          <w:p w14:paraId="5AB7AEBF">
            <w:pPr>
              <w:pStyle w:val="12"/>
              <w:wordWrap w:val="0"/>
              <w:spacing w:before="0" w:beforeAutospacing="0" w:after="0" w:afterAutospacing="0"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地点：卢氏县公共资源交易中心四楼第一开标室</w:t>
            </w:r>
          </w:p>
        </w:tc>
      </w:tr>
      <w:tr w14:paraId="6EE4E1B2">
        <w:tblPrEx>
          <w:tblCellMar>
            <w:top w:w="0" w:type="dxa"/>
            <w:left w:w="108" w:type="dxa"/>
            <w:bottom w:w="0" w:type="dxa"/>
            <w:right w:w="108" w:type="dxa"/>
          </w:tblCellMar>
        </w:tblPrEx>
        <w:trPr>
          <w:trHeight w:val="7992"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2F16777">
            <w:pPr>
              <w:adjustRightInd w:val="0"/>
              <w:jc w:val="center"/>
              <w:textAlignment w:val="baseline"/>
              <w:rPr>
                <w:rFonts w:hint="eastAsia" w:ascii="宋体" w:hAnsi="宋体" w:cs="宋体" w:eastAsiaTheme="minorEastAsia"/>
                <w:color w:val="auto"/>
                <w:sz w:val="24"/>
                <w:lang w:eastAsia="zh-CN"/>
              </w:rPr>
            </w:pPr>
            <w:r>
              <w:rPr>
                <w:rFonts w:hint="eastAsia" w:ascii="宋体" w:hAnsi="宋体" w:cs="宋体"/>
                <w:color w:val="auto"/>
                <w:sz w:val="24"/>
              </w:rPr>
              <w:t>3</w:t>
            </w:r>
            <w:r>
              <w:rPr>
                <w:rFonts w:hint="eastAsia" w:ascii="宋体" w:hAnsi="宋体" w:cs="宋体"/>
                <w:color w:val="auto"/>
                <w:sz w:val="24"/>
                <w:lang w:val="en-US" w:eastAsia="zh-CN"/>
              </w:rPr>
              <w:t>5</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AFC43FC">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开标</w:t>
            </w:r>
          </w:p>
          <w:p w14:paraId="0AF68AA8">
            <w:pPr>
              <w:widowControl/>
              <w:spacing w:line="360" w:lineRule="auto"/>
              <w:jc w:val="center"/>
              <w:rPr>
                <w:rFonts w:hint="eastAsia" w:ascii="宋体" w:hAnsi="宋体" w:cs="宋体"/>
                <w:color w:val="auto"/>
                <w:sz w:val="24"/>
              </w:rPr>
            </w:pPr>
            <w:r>
              <w:rPr>
                <w:rFonts w:hint="eastAsia" w:ascii="宋体" w:hAnsi="宋体" w:cs="宋体"/>
                <w:color w:val="auto"/>
                <w:kern w:val="0"/>
                <w:sz w:val="24"/>
              </w:rPr>
              <w:t>程序</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4E9FC44">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7B3D71A7">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2、电子化投标文件采用一次加密方式。开标时，由投标供应商使用CA 证书，在规定时间内对其电子化投标文件进行解密。每位投标供应商的解密时间为开标时间起30分钟内，如在规定时间内未完成解密的，其投标文件不予开标、唱标。每位投标供应商的解密时间为开标时间起30分钟内完成。</w:t>
            </w:r>
          </w:p>
          <w:p w14:paraId="24A32B9D">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3 、待所有投标供应商投标文件解密完成后，由中介服务机构操作，对所有已解密投标文件进行唱标。</w:t>
            </w:r>
          </w:p>
          <w:p w14:paraId="30C63021">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4 、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0FC8F611">
            <w:pPr>
              <w:pStyle w:val="12"/>
              <w:wordWrap w:val="0"/>
              <w:spacing w:before="0" w:beforeAutospacing="0" w:after="0" w:afterAutospacing="0" w:line="360" w:lineRule="auto"/>
              <w:jc w:val="both"/>
              <w:rPr>
                <w:rFonts w:hint="eastAsia" w:cs="宋体"/>
                <w:color w:val="auto"/>
              </w:rPr>
            </w:pPr>
            <w:r>
              <w:rPr>
                <w:rFonts w:hint="eastAsia" w:cs="宋体"/>
                <w:color w:val="auto"/>
                <w:kern w:val="2"/>
              </w:rPr>
              <w:t>注：投标供应商应保证在开标期间电话、电脑、网络能够正常工作，投标人因停电、电脑病毒、网络堵塞等原因，未在规定的解密时间内对投标文件进行解密的，其投标文件不予接收、唱标。</w:t>
            </w:r>
          </w:p>
        </w:tc>
      </w:tr>
      <w:tr w14:paraId="15B3B16E">
        <w:tblPrEx>
          <w:tblCellMar>
            <w:top w:w="0" w:type="dxa"/>
            <w:left w:w="108" w:type="dxa"/>
            <w:bottom w:w="0" w:type="dxa"/>
            <w:right w:w="108" w:type="dxa"/>
          </w:tblCellMar>
        </w:tblPrEx>
        <w:trPr>
          <w:trHeight w:val="9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BAEDA76">
            <w:pPr>
              <w:adjustRightInd w:val="0"/>
              <w:jc w:val="center"/>
              <w:textAlignment w:val="baseline"/>
              <w:rPr>
                <w:rFonts w:hint="eastAsia" w:ascii="宋体" w:hAnsi="宋体" w:cs="宋体" w:eastAsiaTheme="minorEastAsia"/>
                <w:color w:val="auto"/>
                <w:sz w:val="24"/>
                <w:lang w:eastAsia="zh-CN"/>
              </w:rPr>
            </w:pPr>
            <w:r>
              <w:rPr>
                <w:rFonts w:hint="eastAsia" w:ascii="宋体" w:hAnsi="宋体" w:cs="宋体"/>
                <w:color w:val="auto"/>
                <w:sz w:val="24"/>
              </w:rPr>
              <w:t>3</w:t>
            </w:r>
            <w:r>
              <w:rPr>
                <w:rFonts w:hint="eastAsia" w:ascii="宋体" w:hAnsi="宋体" w:cs="宋体"/>
                <w:color w:val="auto"/>
                <w:sz w:val="24"/>
                <w:lang w:val="en-US" w:eastAsia="zh-CN"/>
              </w:rPr>
              <w:t>6</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6A0CE13">
            <w:pPr>
              <w:adjustRightInd w:val="0"/>
              <w:spacing w:line="360" w:lineRule="auto"/>
              <w:jc w:val="center"/>
              <w:textAlignment w:val="baseline"/>
              <w:rPr>
                <w:rFonts w:hint="eastAsia" w:ascii="宋体" w:hAnsi="宋体" w:cs="宋体"/>
                <w:color w:val="auto"/>
                <w:sz w:val="24"/>
              </w:rPr>
            </w:pPr>
            <w:r>
              <w:rPr>
                <w:rFonts w:hint="eastAsia" w:ascii="宋体" w:hAnsi="宋体" w:cs="宋体"/>
                <w:color w:val="auto"/>
                <w:sz w:val="24"/>
              </w:rPr>
              <w:t>评标委员会的组建</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4B284B9">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评标委员会成员为</w:t>
            </w:r>
            <w:r>
              <w:rPr>
                <w:rFonts w:hint="eastAsia" w:cs="宋体"/>
                <w:color w:val="auto"/>
                <w:kern w:val="2"/>
                <w:lang w:val="en-US" w:eastAsia="zh-CN"/>
              </w:rPr>
              <w:t>5</w:t>
            </w:r>
            <w:r>
              <w:rPr>
                <w:rFonts w:hint="eastAsia" w:cs="宋体"/>
                <w:color w:val="auto"/>
                <w:kern w:val="2"/>
              </w:rPr>
              <w:t>人，</w:t>
            </w:r>
            <w:r>
              <w:rPr>
                <w:rFonts w:hint="eastAsia" w:cs="宋体"/>
                <w:color w:val="auto"/>
                <w:kern w:val="2"/>
                <w:lang w:eastAsia="zh-CN"/>
              </w:rPr>
              <w:t>采购人</w:t>
            </w:r>
            <w:r>
              <w:rPr>
                <w:rFonts w:hint="eastAsia" w:cs="宋体"/>
                <w:color w:val="auto"/>
                <w:kern w:val="2"/>
              </w:rPr>
              <w:t>代表</w:t>
            </w:r>
            <w:r>
              <w:rPr>
                <w:rFonts w:hint="eastAsia" w:cs="宋体"/>
                <w:color w:val="auto"/>
                <w:kern w:val="2"/>
                <w:lang w:val="en-US" w:eastAsia="zh-CN"/>
              </w:rPr>
              <w:t>1</w:t>
            </w:r>
            <w:r>
              <w:rPr>
                <w:rFonts w:hint="eastAsia" w:cs="宋体"/>
                <w:color w:val="auto"/>
                <w:kern w:val="2"/>
              </w:rPr>
              <w:t>人，其余技术、经济等方面的专家</w:t>
            </w:r>
            <w:r>
              <w:rPr>
                <w:rFonts w:hint="eastAsia" w:cs="宋体"/>
                <w:color w:val="auto"/>
                <w:kern w:val="2"/>
                <w:lang w:val="en-US" w:eastAsia="zh-CN"/>
              </w:rPr>
              <w:t>4</w:t>
            </w:r>
            <w:r>
              <w:rPr>
                <w:rFonts w:hint="eastAsia" w:cs="宋体"/>
                <w:color w:val="auto"/>
                <w:kern w:val="2"/>
              </w:rPr>
              <w:t>人，从</w:t>
            </w:r>
            <w:r>
              <w:rPr>
                <w:rFonts w:hint="eastAsia" w:cs="宋体"/>
                <w:color w:val="auto"/>
                <w:kern w:val="2"/>
                <w:lang w:val="en-US" w:eastAsia="zh-CN"/>
              </w:rPr>
              <w:t>河南省政府采购评审专家库</w:t>
            </w:r>
            <w:r>
              <w:rPr>
                <w:rFonts w:hint="eastAsia" w:cs="宋体"/>
                <w:color w:val="auto"/>
                <w:kern w:val="2"/>
              </w:rPr>
              <w:t>中随机抽取。</w:t>
            </w:r>
          </w:p>
        </w:tc>
      </w:tr>
      <w:tr w14:paraId="710BDCAC">
        <w:tblPrEx>
          <w:tblCellMar>
            <w:top w:w="0" w:type="dxa"/>
            <w:left w:w="108" w:type="dxa"/>
            <w:bottom w:w="0" w:type="dxa"/>
            <w:right w:w="108" w:type="dxa"/>
          </w:tblCellMar>
        </w:tblPrEx>
        <w:trPr>
          <w:trHeight w:val="548"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87442BE">
            <w:pPr>
              <w:adjustRightInd w:val="0"/>
              <w:jc w:val="center"/>
              <w:textAlignment w:val="baseline"/>
              <w:rPr>
                <w:rFonts w:hint="eastAsia" w:ascii="宋体" w:hAnsi="宋体" w:cs="宋体" w:eastAsiaTheme="minorEastAsia"/>
                <w:color w:val="auto"/>
                <w:sz w:val="24"/>
                <w:lang w:eastAsia="zh-CN"/>
              </w:rPr>
            </w:pPr>
            <w:r>
              <w:rPr>
                <w:rFonts w:hint="eastAsia" w:ascii="宋体" w:hAnsi="宋体" w:cs="宋体"/>
                <w:color w:val="auto"/>
                <w:sz w:val="24"/>
              </w:rPr>
              <w:t>3</w:t>
            </w:r>
            <w:r>
              <w:rPr>
                <w:rFonts w:hint="eastAsia" w:ascii="宋体" w:hAnsi="宋体" w:cs="宋体"/>
                <w:color w:val="auto"/>
                <w:sz w:val="24"/>
                <w:lang w:val="en-US" w:eastAsia="zh-CN"/>
              </w:rPr>
              <w:t>7</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894D805">
            <w:pPr>
              <w:widowControl/>
              <w:spacing w:line="360" w:lineRule="auto"/>
              <w:jc w:val="center"/>
              <w:rPr>
                <w:rFonts w:hint="eastAsia" w:ascii="宋体" w:hAnsi="宋体" w:cs="宋体"/>
                <w:color w:val="auto"/>
                <w:sz w:val="24"/>
              </w:rPr>
            </w:pPr>
            <w:r>
              <w:rPr>
                <w:rFonts w:hint="eastAsia" w:ascii="宋体" w:hAnsi="宋体" w:cs="宋体"/>
                <w:color w:val="auto"/>
                <w:kern w:val="0"/>
                <w:sz w:val="24"/>
              </w:rPr>
              <w:t>是否授权评标委员会确定中标供应商</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A094DE0">
            <w:pPr>
              <w:pStyle w:val="12"/>
              <w:wordWrap w:val="0"/>
              <w:spacing w:before="0" w:beforeAutospacing="0" w:after="0" w:afterAutospacing="0" w:line="360" w:lineRule="auto"/>
              <w:jc w:val="both"/>
              <w:rPr>
                <w:rFonts w:hint="eastAsia" w:cs="宋体"/>
                <w:color w:val="auto"/>
                <w:kern w:val="2"/>
              </w:rPr>
            </w:pPr>
            <w:r>
              <w:rPr>
                <w:rFonts w:hint="eastAsia" w:cs="宋体"/>
                <w:color w:val="auto"/>
                <w:kern w:val="2"/>
              </w:rPr>
              <w:t>否，推荐3名中标候选供应商。</w:t>
            </w:r>
            <w:r>
              <w:rPr>
                <w:rFonts w:hint="eastAsia" w:cs="宋体"/>
                <w:color w:val="auto"/>
                <w:lang w:eastAsia="zh-CN"/>
              </w:rPr>
              <w:t>采购人</w:t>
            </w:r>
            <w:r>
              <w:rPr>
                <w:rFonts w:hint="eastAsia" w:cs="宋体"/>
                <w:color w:val="auto"/>
              </w:rPr>
              <w:t>确定评标委员会推荐的排名第一的中标候选人为中标人。排名第一的中标候选人放弃中标、因不可抗力不能履行合同，或者被查实存在影响中标结果的违法行为等情形，不符合中标条件的，</w:t>
            </w:r>
            <w:r>
              <w:rPr>
                <w:rFonts w:hint="eastAsia" w:cs="宋体"/>
                <w:color w:val="auto"/>
                <w:lang w:eastAsia="zh-CN"/>
              </w:rPr>
              <w:t>采购人</w:t>
            </w:r>
            <w:r>
              <w:rPr>
                <w:rFonts w:hint="eastAsia" w:cs="宋体"/>
                <w:color w:val="auto"/>
              </w:rPr>
              <w:t>可以按照评标委员会提出的中标候选人名单排序依次确定其他中标候选人为中标人，也可以重新招标。</w:t>
            </w:r>
          </w:p>
        </w:tc>
      </w:tr>
      <w:tr w14:paraId="0FD5DBDD">
        <w:tblPrEx>
          <w:tblCellMar>
            <w:top w:w="0" w:type="dxa"/>
            <w:left w:w="108" w:type="dxa"/>
            <w:bottom w:w="0" w:type="dxa"/>
            <w:right w:w="108" w:type="dxa"/>
          </w:tblCellMar>
        </w:tblPrEx>
        <w:trPr>
          <w:trHeight w:val="820"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2FE8F7A">
            <w:pPr>
              <w:adjustRightInd w:val="0"/>
              <w:jc w:val="center"/>
              <w:textAlignment w:val="baseline"/>
              <w:rPr>
                <w:rFonts w:hint="eastAsia" w:ascii="宋体" w:hAnsi="宋体" w:cs="宋体" w:eastAsiaTheme="minorEastAsia"/>
                <w:color w:val="auto"/>
                <w:sz w:val="24"/>
                <w:lang w:eastAsia="zh-CN"/>
              </w:rPr>
            </w:pPr>
            <w:r>
              <w:rPr>
                <w:rFonts w:hint="eastAsia" w:ascii="宋体" w:hAnsi="宋体" w:cs="宋体"/>
                <w:color w:val="auto"/>
                <w:sz w:val="24"/>
              </w:rPr>
              <w:t>3</w:t>
            </w:r>
            <w:r>
              <w:rPr>
                <w:rFonts w:hint="eastAsia" w:ascii="宋体" w:hAnsi="宋体" w:cs="宋体"/>
                <w:color w:val="auto"/>
                <w:sz w:val="24"/>
                <w:lang w:val="en-US" w:eastAsia="zh-CN"/>
              </w:rPr>
              <w:t>8</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7D8CC30">
            <w:pPr>
              <w:adjustRightInd w:val="0"/>
              <w:jc w:val="center"/>
              <w:textAlignment w:val="baseline"/>
              <w:rPr>
                <w:rFonts w:hint="eastAsia" w:ascii="宋体" w:hAnsi="宋体" w:cs="宋体"/>
                <w:color w:val="auto"/>
                <w:sz w:val="24"/>
              </w:rPr>
            </w:pPr>
            <w:r>
              <w:rPr>
                <w:rFonts w:hint="eastAsia" w:ascii="宋体" w:hAnsi="宋体" w:cs="宋体"/>
                <w:color w:val="auto"/>
                <w:sz w:val="24"/>
              </w:rPr>
              <w:t>中标结果公告媒介及期限</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76126F1">
            <w:pPr>
              <w:pStyle w:val="12"/>
              <w:wordWrap w:val="0"/>
              <w:spacing w:before="0" w:beforeAutospacing="0" w:after="0" w:afterAutospacing="0" w:line="240" w:lineRule="auto"/>
              <w:rPr>
                <w:rFonts w:hint="eastAsia" w:cs="宋体"/>
                <w:color w:val="auto"/>
                <w:kern w:val="2"/>
              </w:rPr>
            </w:pPr>
            <w:r>
              <w:rPr>
                <w:rFonts w:hint="eastAsia" w:cs="宋体"/>
                <w:color w:val="auto"/>
                <w:kern w:val="2"/>
              </w:rPr>
              <w:t>同时在《中国招标投标公共服务平台》、《河南省政府采购网》、《三门峡市公共资源交易中心网》上发布。</w:t>
            </w:r>
          </w:p>
        </w:tc>
      </w:tr>
      <w:tr w14:paraId="07E6CC88">
        <w:tblPrEx>
          <w:tblCellMar>
            <w:top w:w="0" w:type="dxa"/>
            <w:left w:w="108" w:type="dxa"/>
            <w:bottom w:w="0" w:type="dxa"/>
            <w:right w:w="108" w:type="dxa"/>
          </w:tblCellMar>
        </w:tblPrEx>
        <w:trPr>
          <w:trHeight w:val="496"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5DB4257">
            <w:pPr>
              <w:adjustRightInd w:val="0"/>
              <w:jc w:val="center"/>
              <w:textAlignment w:val="baseline"/>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39</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0F34CA7">
            <w:pPr>
              <w:adjustRightInd w:val="0"/>
              <w:jc w:val="center"/>
              <w:textAlignment w:val="baseline"/>
              <w:rPr>
                <w:rFonts w:hint="eastAsia" w:ascii="宋体" w:hAnsi="宋体" w:cs="宋体"/>
                <w:color w:val="auto"/>
                <w:sz w:val="24"/>
              </w:rPr>
            </w:pPr>
            <w:r>
              <w:rPr>
                <w:rFonts w:hint="eastAsia" w:ascii="宋体" w:hAnsi="宋体" w:cs="宋体"/>
                <w:color w:val="auto"/>
                <w:sz w:val="24"/>
              </w:rPr>
              <w:t>履约保证金</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30D3939">
            <w:pPr>
              <w:pStyle w:val="12"/>
              <w:wordWrap w:val="0"/>
              <w:spacing w:before="0" w:beforeAutospacing="0" w:after="0" w:afterAutospacing="0" w:line="240" w:lineRule="auto"/>
              <w:jc w:val="both"/>
              <w:rPr>
                <w:rFonts w:hint="eastAsia" w:cs="宋体"/>
                <w:color w:val="auto"/>
                <w:kern w:val="2"/>
              </w:rPr>
            </w:pPr>
            <w:r>
              <w:rPr>
                <w:rFonts w:hint="eastAsia" w:cs="宋体"/>
                <w:color w:val="auto"/>
                <w:kern w:val="2"/>
              </w:rPr>
              <w:t>无</w:t>
            </w:r>
          </w:p>
        </w:tc>
      </w:tr>
      <w:tr w14:paraId="26E23999">
        <w:tblPrEx>
          <w:tblCellMar>
            <w:top w:w="0" w:type="dxa"/>
            <w:left w:w="108" w:type="dxa"/>
            <w:bottom w:w="0" w:type="dxa"/>
            <w:right w:w="108" w:type="dxa"/>
          </w:tblCellMar>
        </w:tblPrEx>
        <w:trPr>
          <w:trHeight w:val="563"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E29B291">
            <w:pPr>
              <w:adjustRightInd w:val="0"/>
              <w:jc w:val="center"/>
              <w:textAlignment w:val="baseline"/>
              <w:rPr>
                <w:rFonts w:hint="eastAsia" w:ascii="宋体" w:hAnsi="宋体" w:cs="宋体" w:eastAsiaTheme="minorEastAsia"/>
                <w:color w:val="auto"/>
                <w:sz w:val="24"/>
                <w:lang w:eastAsia="zh-CN"/>
              </w:rPr>
            </w:pPr>
            <w:r>
              <w:rPr>
                <w:rFonts w:hint="eastAsia" w:ascii="宋体" w:hAnsi="宋体" w:cs="宋体"/>
                <w:color w:val="auto"/>
                <w:sz w:val="24"/>
              </w:rPr>
              <w:t>4</w:t>
            </w:r>
            <w:r>
              <w:rPr>
                <w:rFonts w:hint="eastAsia" w:ascii="宋体" w:hAnsi="宋体" w:cs="宋体"/>
                <w:color w:val="auto"/>
                <w:sz w:val="24"/>
                <w:lang w:val="en-US" w:eastAsia="zh-CN"/>
              </w:rPr>
              <w:t>0</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10CA418">
            <w:pPr>
              <w:adjustRightInd w:val="0"/>
              <w:spacing w:line="240" w:lineRule="auto"/>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付款方式</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E59C2EF">
            <w:pPr>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合同签订后，货物交付完成经验收合格后，付合同价款的100%。</w:t>
            </w:r>
          </w:p>
        </w:tc>
      </w:tr>
      <w:tr w14:paraId="02EDDA39">
        <w:tblPrEx>
          <w:tblCellMar>
            <w:top w:w="0" w:type="dxa"/>
            <w:left w:w="108" w:type="dxa"/>
            <w:bottom w:w="0" w:type="dxa"/>
            <w:right w:w="108" w:type="dxa"/>
          </w:tblCellMar>
        </w:tblPrEx>
        <w:trPr>
          <w:trHeight w:val="1007"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236634C">
            <w:pPr>
              <w:adjustRightInd w:val="0"/>
              <w:jc w:val="center"/>
              <w:textAlignment w:val="baseline"/>
              <w:rPr>
                <w:rFonts w:hint="eastAsia" w:ascii="宋体" w:hAnsi="宋体" w:cs="宋体" w:eastAsiaTheme="minorEastAsia"/>
                <w:color w:val="auto"/>
                <w:sz w:val="24"/>
                <w:lang w:eastAsia="zh-CN"/>
              </w:rPr>
            </w:pPr>
            <w:r>
              <w:rPr>
                <w:rFonts w:hint="eastAsia" w:ascii="宋体" w:hAnsi="宋体" w:cs="宋体"/>
                <w:color w:val="auto"/>
                <w:sz w:val="24"/>
              </w:rPr>
              <w:t>4</w:t>
            </w:r>
            <w:r>
              <w:rPr>
                <w:rFonts w:hint="eastAsia" w:ascii="宋体" w:hAnsi="宋体" w:cs="宋体"/>
                <w:color w:val="auto"/>
                <w:sz w:val="24"/>
                <w:lang w:val="en-US" w:eastAsia="zh-CN"/>
              </w:rPr>
              <w:t>1</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E48ED17">
            <w:pPr>
              <w:autoSpaceDE w:val="0"/>
              <w:autoSpaceDN w:val="0"/>
              <w:adjustRightInd w:val="0"/>
              <w:spacing w:line="400" w:lineRule="exact"/>
              <w:jc w:val="center"/>
              <w:rPr>
                <w:rFonts w:hint="eastAsia" w:ascii="宋体" w:hAnsi="宋体" w:cs="宋体"/>
                <w:b/>
                <w:bCs/>
                <w:color w:val="auto"/>
                <w:sz w:val="24"/>
              </w:rPr>
            </w:pPr>
            <w:r>
              <w:rPr>
                <w:rFonts w:hint="eastAsia" w:ascii="宋体" w:hAnsi="宋体" w:cs="宋体"/>
                <w:color w:val="auto"/>
                <w:spacing w:val="-6"/>
                <w:sz w:val="24"/>
              </w:rPr>
              <w:t>合同签订时间</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EF44C14">
            <w:pPr>
              <w:tabs>
                <w:tab w:val="left" w:pos="180"/>
              </w:tabs>
              <w:spacing w:line="400" w:lineRule="exact"/>
              <w:rPr>
                <w:rFonts w:ascii="宋体" w:hAnsi="宋体" w:cs="宋体"/>
                <w:b/>
                <w:bCs/>
                <w:color w:val="auto"/>
                <w:sz w:val="24"/>
              </w:rPr>
            </w:pPr>
            <w:r>
              <w:rPr>
                <w:rFonts w:hint="eastAsia" w:ascii="宋体" w:hAnsi="宋体" w:cs="宋体"/>
                <w:color w:val="auto"/>
                <w:sz w:val="24"/>
              </w:rPr>
              <w:t>中标供应商在收到中标通知书后1个工作日内应与</w:t>
            </w:r>
            <w:r>
              <w:rPr>
                <w:rFonts w:hint="eastAsia" w:ascii="宋体" w:hAnsi="宋体" w:cs="宋体"/>
                <w:color w:val="auto"/>
                <w:sz w:val="24"/>
                <w:lang w:eastAsia="zh-CN"/>
              </w:rPr>
              <w:t>采购人</w:t>
            </w:r>
            <w:r>
              <w:rPr>
                <w:rFonts w:hint="eastAsia" w:ascii="宋体" w:hAnsi="宋体" w:cs="宋体"/>
                <w:color w:val="auto"/>
                <w:sz w:val="24"/>
              </w:rPr>
              <w:t>签订采购合同。</w:t>
            </w:r>
          </w:p>
        </w:tc>
      </w:tr>
      <w:tr w14:paraId="1E4DC688">
        <w:tblPrEx>
          <w:tblCellMar>
            <w:top w:w="0" w:type="dxa"/>
            <w:left w:w="108" w:type="dxa"/>
            <w:bottom w:w="0" w:type="dxa"/>
            <w:right w:w="108" w:type="dxa"/>
          </w:tblCellMar>
        </w:tblPrEx>
        <w:trPr>
          <w:trHeight w:val="512" w:hRule="atLeast"/>
          <w:jc w:val="center"/>
        </w:trPr>
        <w:tc>
          <w:tcPr>
            <w:tcW w:w="10131" w:type="dxa"/>
            <w:gridSpan w:val="3"/>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DF5E423">
            <w:pPr>
              <w:adjustRightInd w:val="0"/>
              <w:jc w:val="center"/>
              <w:textAlignment w:val="baseline"/>
              <w:rPr>
                <w:rFonts w:hint="eastAsia" w:ascii="宋体" w:hAnsi="宋体" w:cs="宋体"/>
                <w:color w:val="auto"/>
                <w:sz w:val="24"/>
              </w:rPr>
            </w:pPr>
            <w:r>
              <w:rPr>
                <w:rFonts w:hint="eastAsia" w:ascii="宋体" w:hAnsi="宋体" w:cs="宋体"/>
                <w:b/>
                <w:bCs/>
                <w:color w:val="auto"/>
                <w:sz w:val="24"/>
              </w:rPr>
              <w:t>需要补充的其他内容</w:t>
            </w:r>
          </w:p>
        </w:tc>
      </w:tr>
      <w:tr w14:paraId="4CB9F8EA">
        <w:tblPrEx>
          <w:tblCellMar>
            <w:top w:w="0" w:type="dxa"/>
            <w:left w:w="108" w:type="dxa"/>
            <w:bottom w:w="0" w:type="dxa"/>
            <w:right w:w="108" w:type="dxa"/>
          </w:tblCellMar>
        </w:tblPrEx>
        <w:trPr>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BAA21FD">
            <w:pPr>
              <w:adjustRightInd w:val="0"/>
              <w:jc w:val="center"/>
              <w:textAlignment w:val="baseline"/>
              <w:rPr>
                <w:rFonts w:hint="eastAsia" w:ascii="宋体" w:hAnsi="宋体" w:cs="宋体" w:eastAsiaTheme="minorEastAsia"/>
                <w:color w:val="auto"/>
                <w:sz w:val="24"/>
                <w:lang w:eastAsia="zh-CN"/>
              </w:rPr>
            </w:pPr>
            <w:r>
              <w:rPr>
                <w:rFonts w:hint="eastAsia" w:ascii="宋体" w:hAnsi="宋体" w:cs="宋体"/>
                <w:color w:val="auto"/>
                <w:sz w:val="24"/>
              </w:rPr>
              <w:t>4</w:t>
            </w:r>
            <w:r>
              <w:rPr>
                <w:rFonts w:hint="eastAsia" w:ascii="宋体" w:hAnsi="宋体" w:cs="宋体"/>
                <w:color w:val="auto"/>
                <w:sz w:val="24"/>
                <w:lang w:val="en-US" w:eastAsia="zh-CN"/>
              </w:rPr>
              <w:t>2</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897A7DD">
            <w:pPr>
              <w:adjustRightInd w:val="0"/>
              <w:jc w:val="center"/>
              <w:textAlignment w:val="baseline"/>
              <w:rPr>
                <w:rFonts w:hint="eastAsia" w:ascii="宋体" w:hAnsi="宋体" w:cs="宋体"/>
                <w:color w:val="auto"/>
                <w:sz w:val="24"/>
              </w:rPr>
            </w:pPr>
            <w:r>
              <w:rPr>
                <w:rFonts w:hint="eastAsia" w:ascii="宋体" w:hAnsi="宋体" w:cs="宋体"/>
                <w:color w:val="auto"/>
                <w:sz w:val="24"/>
              </w:rPr>
              <w:t>知识产权</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047C110">
            <w:pPr>
              <w:pStyle w:val="12"/>
              <w:wordWrap w:val="0"/>
              <w:spacing w:before="0" w:beforeAutospacing="0" w:after="0" w:afterAutospacing="0" w:line="360" w:lineRule="auto"/>
              <w:rPr>
                <w:rFonts w:hint="eastAsia" w:cs="宋体"/>
                <w:color w:val="auto"/>
                <w:kern w:val="2"/>
              </w:rPr>
            </w:pPr>
            <w:r>
              <w:rPr>
                <w:rFonts w:hint="eastAsia" w:cs="宋体"/>
                <w:color w:val="auto"/>
                <w:kern w:val="2"/>
              </w:rPr>
              <w:t>构成本招标文件各个组成部分的文件，未经</w:t>
            </w:r>
            <w:r>
              <w:rPr>
                <w:rFonts w:hint="eastAsia" w:cs="宋体"/>
                <w:color w:val="auto"/>
                <w:kern w:val="2"/>
                <w:lang w:eastAsia="zh-CN"/>
              </w:rPr>
              <w:t>采购人</w:t>
            </w:r>
            <w:r>
              <w:rPr>
                <w:rFonts w:hint="eastAsia" w:cs="宋体"/>
                <w:color w:val="auto"/>
                <w:kern w:val="2"/>
              </w:rPr>
              <w:t>书面同意，供应商不得擅自复印和用于非本招标项目所需的其他目的。</w:t>
            </w:r>
            <w:r>
              <w:rPr>
                <w:rFonts w:hint="eastAsia" w:cs="宋体"/>
                <w:color w:val="auto"/>
                <w:kern w:val="2"/>
                <w:lang w:eastAsia="zh-CN"/>
              </w:rPr>
              <w:t>采购人</w:t>
            </w:r>
            <w:r>
              <w:rPr>
                <w:rFonts w:hint="eastAsia" w:cs="宋体"/>
                <w:color w:val="auto"/>
                <w:kern w:val="2"/>
              </w:rPr>
              <w:t>全部或者部分使用未中标人投标文件中的技术成果或技术方案时，需征得其书面同意，并不得擅自复印或提供给第三人。</w:t>
            </w:r>
          </w:p>
        </w:tc>
      </w:tr>
      <w:tr w14:paraId="3FDFF89C">
        <w:tblPrEx>
          <w:tblCellMar>
            <w:top w:w="0" w:type="dxa"/>
            <w:left w:w="108" w:type="dxa"/>
            <w:bottom w:w="0" w:type="dxa"/>
            <w:right w:w="108" w:type="dxa"/>
          </w:tblCellMar>
        </w:tblPrEx>
        <w:trPr>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0EC4D64">
            <w:pPr>
              <w:adjustRightInd w:val="0"/>
              <w:jc w:val="center"/>
              <w:textAlignment w:val="baseline"/>
              <w:rPr>
                <w:rFonts w:hint="eastAsia" w:ascii="宋体" w:hAnsi="宋体" w:cs="宋体" w:eastAsiaTheme="minorEastAsia"/>
                <w:bCs/>
                <w:color w:val="auto"/>
                <w:sz w:val="24"/>
                <w:shd w:val="clear" w:color="050000" w:fill="auto"/>
                <w:lang w:eastAsia="zh-CN"/>
              </w:rPr>
            </w:pPr>
            <w:r>
              <w:rPr>
                <w:rFonts w:hint="eastAsia" w:ascii="宋体" w:hAnsi="宋体" w:cs="宋体"/>
                <w:bCs/>
                <w:color w:val="auto"/>
                <w:sz w:val="24"/>
                <w:shd w:val="clear" w:color="050000" w:fill="auto"/>
              </w:rPr>
              <w:t>4</w:t>
            </w:r>
            <w:r>
              <w:rPr>
                <w:rFonts w:hint="eastAsia" w:ascii="宋体" w:hAnsi="宋体" w:cs="宋体"/>
                <w:bCs/>
                <w:color w:val="auto"/>
                <w:sz w:val="24"/>
                <w:shd w:val="clear" w:color="050000" w:fill="auto"/>
                <w:lang w:val="en-US" w:eastAsia="zh-CN"/>
              </w:rPr>
              <w:t>3</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3A1BBEF">
            <w:pPr>
              <w:jc w:val="center"/>
              <w:rPr>
                <w:rFonts w:hint="eastAsia" w:ascii="宋体" w:hAnsi="宋体" w:cs="宋体"/>
                <w:color w:val="auto"/>
                <w:sz w:val="24"/>
              </w:rPr>
            </w:pPr>
            <w:r>
              <w:rPr>
                <w:rFonts w:hint="eastAsia" w:ascii="宋体" w:hAnsi="宋体" w:cs="宋体"/>
                <w:color w:val="auto"/>
                <w:sz w:val="24"/>
              </w:rPr>
              <w:t>监  督</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9E57668">
            <w:pPr>
              <w:pStyle w:val="12"/>
              <w:wordWrap w:val="0"/>
              <w:spacing w:before="0" w:beforeAutospacing="0" w:after="0" w:afterAutospacing="0" w:line="360" w:lineRule="auto"/>
              <w:rPr>
                <w:rFonts w:hint="eastAsia" w:cs="宋体"/>
                <w:color w:val="auto"/>
                <w:kern w:val="2"/>
              </w:rPr>
            </w:pPr>
            <w:r>
              <w:rPr>
                <w:rFonts w:hint="eastAsia" w:cs="宋体"/>
                <w:color w:val="auto"/>
                <w:kern w:val="2"/>
              </w:rPr>
              <w:t>本项目的采购活动及其相关当事人应当接受有管辖权的相关部门依法实施的监督</w:t>
            </w:r>
          </w:p>
        </w:tc>
      </w:tr>
      <w:tr w14:paraId="4EA1BFA8">
        <w:tblPrEx>
          <w:tblCellMar>
            <w:top w:w="0" w:type="dxa"/>
            <w:left w:w="108" w:type="dxa"/>
            <w:bottom w:w="0" w:type="dxa"/>
            <w:right w:w="108" w:type="dxa"/>
          </w:tblCellMar>
        </w:tblPrEx>
        <w:trPr>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42A2DBE">
            <w:pPr>
              <w:adjustRightInd w:val="0"/>
              <w:jc w:val="center"/>
              <w:textAlignment w:val="baseline"/>
              <w:rPr>
                <w:rFonts w:hint="eastAsia" w:ascii="宋体" w:hAnsi="宋体" w:cs="宋体" w:eastAsiaTheme="minorEastAsia"/>
                <w:bCs/>
                <w:color w:val="auto"/>
                <w:sz w:val="24"/>
                <w:shd w:val="clear" w:color="050000" w:fill="auto"/>
                <w:lang w:eastAsia="zh-CN"/>
              </w:rPr>
            </w:pPr>
            <w:r>
              <w:rPr>
                <w:rFonts w:hint="eastAsia" w:ascii="宋体" w:hAnsi="宋体" w:cs="宋体"/>
                <w:bCs/>
                <w:color w:val="auto"/>
                <w:sz w:val="24"/>
                <w:shd w:val="clear" w:color="050000" w:fill="auto"/>
              </w:rPr>
              <w:t>4</w:t>
            </w:r>
            <w:r>
              <w:rPr>
                <w:rFonts w:hint="eastAsia" w:ascii="宋体" w:hAnsi="宋体" w:cs="宋体"/>
                <w:bCs/>
                <w:color w:val="auto"/>
                <w:sz w:val="24"/>
                <w:shd w:val="clear" w:color="050000" w:fill="auto"/>
                <w:lang w:val="en-US" w:eastAsia="zh-CN"/>
              </w:rPr>
              <w:t>4</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D32DF11">
            <w:pPr>
              <w:jc w:val="center"/>
              <w:rPr>
                <w:rFonts w:hint="eastAsia" w:ascii="宋体" w:hAnsi="宋体" w:cs="宋体"/>
                <w:color w:val="auto"/>
                <w:sz w:val="24"/>
              </w:rPr>
            </w:pPr>
            <w:r>
              <w:rPr>
                <w:rFonts w:hint="eastAsia" w:ascii="宋体" w:hAnsi="宋体" w:cs="宋体"/>
                <w:color w:val="auto"/>
                <w:sz w:val="24"/>
              </w:rPr>
              <w:t>解释权</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0584049">
            <w:pPr>
              <w:pStyle w:val="12"/>
              <w:wordWrap w:val="0"/>
              <w:spacing w:before="0" w:beforeAutospacing="0" w:after="0" w:afterAutospacing="0" w:line="360" w:lineRule="auto"/>
              <w:rPr>
                <w:rFonts w:hint="eastAsia" w:cs="宋体"/>
                <w:color w:val="auto"/>
                <w:kern w:val="2"/>
              </w:rPr>
            </w:pPr>
            <w:r>
              <w:rPr>
                <w:rFonts w:hint="eastAsia" w:cs="宋体"/>
                <w:color w:val="auto"/>
                <w:kern w:val="2"/>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cs="宋体"/>
                <w:color w:val="auto"/>
                <w:kern w:val="2"/>
                <w:lang w:eastAsia="zh-CN"/>
              </w:rPr>
              <w:t>采购人</w:t>
            </w:r>
            <w:r>
              <w:rPr>
                <w:rFonts w:hint="eastAsia" w:cs="宋体"/>
                <w:color w:val="auto"/>
                <w:kern w:val="2"/>
              </w:rPr>
              <w:t>负责解释。</w:t>
            </w:r>
          </w:p>
        </w:tc>
      </w:tr>
      <w:tr w14:paraId="2676AED8">
        <w:tblPrEx>
          <w:tblCellMar>
            <w:top w:w="0" w:type="dxa"/>
            <w:left w:w="108" w:type="dxa"/>
            <w:bottom w:w="0" w:type="dxa"/>
            <w:right w:w="108" w:type="dxa"/>
          </w:tblCellMar>
        </w:tblPrEx>
        <w:trPr>
          <w:trHeight w:val="699"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37BEC38">
            <w:pPr>
              <w:adjustRightInd w:val="0"/>
              <w:jc w:val="center"/>
              <w:textAlignment w:val="baseline"/>
              <w:rPr>
                <w:rFonts w:hint="default" w:ascii="宋体" w:hAnsi="宋体" w:eastAsia="宋体" w:cs="宋体"/>
                <w:color w:val="auto"/>
                <w:sz w:val="24"/>
                <w:lang w:val="en-US" w:eastAsia="zh-CN"/>
              </w:rPr>
            </w:pPr>
            <w:r>
              <w:rPr>
                <w:rFonts w:hint="eastAsia" w:ascii="宋体" w:hAnsi="宋体" w:cs="宋体"/>
                <w:color w:val="auto"/>
                <w:sz w:val="24"/>
                <w:lang w:val="en-US" w:eastAsia="zh-CN"/>
              </w:rPr>
              <w:t>45</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2F41216">
            <w:pPr>
              <w:adjustRightInd w:val="0"/>
              <w:spacing w:line="400" w:lineRule="auto"/>
              <w:jc w:val="center"/>
              <w:textAlignment w:val="baseline"/>
              <w:rPr>
                <w:rFonts w:hint="default" w:ascii="宋体" w:hAnsi="宋体" w:eastAsia="宋体" w:cs="宋体"/>
                <w:color w:val="auto"/>
                <w:sz w:val="24"/>
                <w:lang w:val="en-US" w:eastAsia="zh-CN"/>
              </w:rPr>
            </w:pPr>
            <w:r>
              <w:rPr>
                <w:rFonts w:hint="eastAsia" w:ascii="宋体" w:hAnsi="宋体" w:cs="宋体"/>
                <w:color w:val="auto"/>
                <w:sz w:val="24"/>
                <w:lang w:val="en-US" w:eastAsia="zh-CN"/>
              </w:rPr>
              <w:t>所属行业</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D376AA2">
            <w:pPr>
              <w:wordWrap w:val="0"/>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rPr>
              <w:t>本项目采购标的</w:t>
            </w:r>
            <w:r>
              <w:rPr>
                <w:rFonts w:hint="eastAsia" w:ascii="宋体" w:hAnsi="宋体" w:cs="宋体"/>
                <w:color w:val="auto"/>
                <w:sz w:val="24"/>
                <w:szCs w:val="24"/>
                <w:lang w:val="en-US" w:eastAsia="zh-CN"/>
              </w:rPr>
              <w:t>属于：制造业</w:t>
            </w:r>
          </w:p>
          <w:p w14:paraId="0A023EDF">
            <w:pPr>
              <w:wordWrap w:val="0"/>
              <w:spacing w:line="360" w:lineRule="auto"/>
              <w:rPr>
                <w:rFonts w:hint="eastAsia" w:eastAsia="宋体"/>
                <w:color w:val="auto"/>
                <w:sz w:val="24"/>
                <w:lang w:val="en-US" w:eastAsia="zh-CN"/>
              </w:rPr>
            </w:pPr>
            <w:r>
              <w:rPr>
                <w:rFonts w:hint="eastAsia" w:ascii="宋体" w:hAnsi="宋体" w:cs="宋体"/>
                <w:color w:val="auto"/>
                <w:sz w:val="24"/>
                <w:szCs w:val="24"/>
              </w:rPr>
              <w:t>划定标准为：《工业和信息化部、国家统计局、国家发展和改革委员会、财政部关于印发&lt;中小企业划型标准规定的通知&gt;（工信部联企业〔2011〕300号）规定的划分标准为依据。</w:t>
            </w:r>
          </w:p>
        </w:tc>
      </w:tr>
      <w:tr w14:paraId="4CDE6890">
        <w:tblPrEx>
          <w:tblCellMar>
            <w:top w:w="0" w:type="dxa"/>
            <w:left w:w="108" w:type="dxa"/>
            <w:bottom w:w="0" w:type="dxa"/>
            <w:right w:w="108" w:type="dxa"/>
          </w:tblCellMar>
        </w:tblPrEx>
        <w:trPr>
          <w:trHeight w:val="699"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7A9078E">
            <w:pPr>
              <w:adjustRightInd w:val="0"/>
              <w:jc w:val="center"/>
              <w:textAlignment w:val="baseline"/>
              <w:rPr>
                <w:rFonts w:hint="eastAsia" w:ascii="宋体" w:hAnsi="宋体" w:eastAsia="宋体" w:cs="宋体"/>
                <w:color w:val="auto"/>
                <w:sz w:val="24"/>
                <w:lang w:eastAsia="zh-CN"/>
              </w:rPr>
            </w:pPr>
            <w:r>
              <w:rPr>
                <w:rFonts w:hint="eastAsia" w:ascii="宋体" w:hAnsi="宋体" w:cs="宋体"/>
                <w:color w:val="auto"/>
                <w:sz w:val="24"/>
              </w:rPr>
              <w:t>4</w:t>
            </w:r>
            <w:r>
              <w:rPr>
                <w:rFonts w:hint="eastAsia" w:ascii="宋体" w:hAnsi="宋体" w:cs="宋体"/>
                <w:color w:val="auto"/>
                <w:sz w:val="24"/>
                <w:lang w:val="en-US" w:eastAsia="zh-CN"/>
              </w:rPr>
              <w:t>6</w:t>
            </w:r>
          </w:p>
        </w:tc>
        <w:tc>
          <w:tcPr>
            <w:tcW w:w="1878"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6E817AE">
            <w:pPr>
              <w:adjustRightInd w:val="0"/>
              <w:spacing w:line="400" w:lineRule="auto"/>
              <w:jc w:val="center"/>
              <w:textAlignment w:val="baseline"/>
              <w:rPr>
                <w:rFonts w:hint="eastAsia" w:ascii="宋体" w:hAnsi="宋体" w:cs="宋体"/>
                <w:color w:val="auto"/>
                <w:sz w:val="24"/>
              </w:rPr>
            </w:pPr>
            <w:r>
              <w:rPr>
                <w:rFonts w:hint="eastAsia" w:ascii="宋体" w:hAnsi="宋体" w:cs="宋体"/>
                <w:color w:val="auto"/>
                <w:sz w:val="24"/>
              </w:rPr>
              <w:t>代理服务费</w:t>
            </w:r>
          </w:p>
        </w:tc>
        <w:tc>
          <w:tcPr>
            <w:tcW w:w="7157"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12FC689">
            <w:pPr>
              <w:pStyle w:val="12"/>
              <w:wordWrap w:val="0"/>
              <w:spacing w:before="0" w:beforeAutospacing="0" w:after="0" w:afterAutospacing="0" w:line="360" w:lineRule="auto"/>
              <w:rPr>
                <w:rFonts w:hint="eastAsia" w:eastAsia="宋体" w:cs="宋体"/>
                <w:color w:val="auto"/>
                <w:kern w:val="2"/>
                <w:lang w:eastAsia="zh-CN"/>
              </w:rPr>
            </w:pPr>
            <w:r>
              <w:rPr>
                <w:rFonts w:hint="eastAsia" w:cs="宋体"/>
                <w:color w:val="auto"/>
                <w:kern w:val="2"/>
              </w:rPr>
              <w:t>1、招标代理费：招标代理服务收费参照豫招协[2023]002号河南省招标投标协会关于印发《河南省招标代理服务收费指导意见》</w:t>
            </w:r>
            <w:bookmarkStart w:id="25" w:name="OLE_LINK22"/>
            <w:r>
              <w:rPr>
                <w:rFonts w:hint="eastAsia" w:cs="宋体"/>
                <w:color w:val="auto"/>
                <w:kern w:val="2"/>
              </w:rPr>
              <w:t>规定的收费标准收取中标服务费</w:t>
            </w:r>
            <w:bookmarkEnd w:id="25"/>
            <w:r>
              <w:rPr>
                <w:rFonts w:hint="eastAsia" w:cs="宋体"/>
                <w:color w:val="auto"/>
                <w:kern w:val="2"/>
              </w:rPr>
              <w:t>。招标代理服务收费按差额定率累进法计算。</w:t>
            </w:r>
            <w:r>
              <w:rPr>
                <w:rFonts w:hint="eastAsia" w:cs="宋体"/>
                <w:color w:val="auto"/>
                <w:kern w:val="2"/>
                <w:lang w:eastAsia="zh-CN"/>
              </w:rPr>
              <w:t>详见投标人须知第</w:t>
            </w:r>
            <w:r>
              <w:rPr>
                <w:rFonts w:hint="eastAsia" w:cs="宋体"/>
                <w:color w:val="auto"/>
                <w:kern w:val="2"/>
                <w:lang w:val="en-US" w:eastAsia="zh-CN"/>
              </w:rPr>
              <w:t>12条</w:t>
            </w:r>
            <w:r>
              <w:rPr>
                <w:rFonts w:hint="eastAsia" w:cs="宋体"/>
                <w:color w:val="auto"/>
                <w:kern w:val="2"/>
                <w:lang w:eastAsia="zh-CN"/>
              </w:rPr>
              <w:t>；</w:t>
            </w:r>
          </w:p>
          <w:p w14:paraId="574910EB">
            <w:pPr>
              <w:pStyle w:val="12"/>
              <w:wordWrap w:val="0"/>
              <w:spacing w:before="0" w:beforeAutospacing="0" w:after="0" w:afterAutospacing="0" w:line="360" w:lineRule="auto"/>
              <w:rPr>
                <w:rFonts w:hint="eastAsia" w:cs="宋体"/>
                <w:color w:val="auto"/>
                <w:kern w:val="2"/>
              </w:rPr>
            </w:pPr>
            <w:r>
              <w:rPr>
                <w:rFonts w:hint="eastAsia" w:cs="宋体"/>
                <w:color w:val="auto"/>
                <w:kern w:val="2"/>
              </w:rPr>
              <w:t>2、其他：中标单位在领取中标通知书时需向招标代理机构提供加盖公章的完整的纸质版投标文件贰份；</w:t>
            </w:r>
          </w:p>
        </w:tc>
      </w:tr>
      <w:tr w14:paraId="3D540361">
        <w:tblPrEx>
          <w:tblCellMar>
            <w:top w:w="0" w:type="dxa"/>
            <w:left w:w="108" w:type="dxa"/>
            <w:bottom w:w="0" w:type="dxa"/>
            <w:right w:w="108" w:type="dxa"/>
          </w:tblCellMar>
        </w:tblPrEx>
        <w:trPr>
          <w:trHeight w:val="699" w:hRule="atLeast"/>
          <w:jc w:val="center"/>
        </w:trPr>
        <w:tc>
          <w:tcPr>
            <w:tcW w:w="1096"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B475BB8">
            <w:pPr>
              <w:spacing w:line="580" w:lineRule="exact"/>
              <w:rPr>
                <w:rFonts w:hint="eastAsia" w:ascii="宋体" w:hAnsi="宋体" w:cs="宋体"/>
                <w:color w:val="auto"/>
                <w:sz w:val="24"/>
              </w:rPr>
            </w:pPr>
            <w:r>
              <w:rPr>
                <w:rFonts w:hint="eastAsia" w:ascii="宋体" w:hAnsi="宋体" w:cs="宋体"/>
                <w:color w:val="auto"/>
                <w:kern w:val="0"/>
                <w:sz w:val="24"/>
              </w:rPr>
              <w:t>电子化注意事项</w:t>
            </w:r>
          </w:p>
        </w:tc>
        <w:tc>
          <w:tcPr>
            <w:tcW w:w="9035" w:type="dxa"/>
            <w:gridSpan w:val="2"/>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4DED260">
            <w:pPr>
              <w:pStyle w:val="12"/>
              <w:wordWrap w:val="0"/>
              <w:spacing w:before="0" w:beforeAutospacing="0" w:after="0" w:afterAutospacing="0" w:line="360" w:lineRule="auto"/>
              <w:rPr>
                <w:rFonts w:hint="eastAsia" w:cs="宋体"/>
                <w:color w:val="auto"/>
                <w:kern w:val="2"/>
              </w:rPr>
            </w:pPr>
            <w:r>
              <w:rPr>
                <w:rFonts w:hint="eastAsia" w:cs="宋体"/>
                <w:color w:val="auto"/>
                <w:kern w:val="2"/>
              </w:rPr>
              <w:t>具体要求：本项目为电子化、无纸化交易项目，投标文件是投标人、供应商（以下简称“投标人”）通过中心投标文件制作系统制作，并经过签章和加密后生成的电子版投标文件。</w:t>
            </w:r>
          </w:p>
          <w:p w14:paraId="4170CCCE">
            <w:pPr>
              <w:pStyle w:val="12"/>
              <w:wordWrap w:val="0"/>
              <w:spacing w:before="0" w:beforeAutospacing="0" w:after="0" w:afterAutospacing="0" w:line="360" w:lineRule="auto"/>
              <w:rPr>
                <w:rFonts w:hint="eastAsia" w:cs="宋体"/>
                <w:color w:val="auto"/>
                <w:kern w:val="2"/>
              </w:rPr>
            </w:pPr>
            <w:r>
              <w:rPr>
                <w:rFonts w:hint="eastAsia" w:cs="宋体"/>
                <w:color w:val="auto"/>
                <w:kern w:val="2"/>
              </w:rPr>
              <w:t>电子化投标文件具体制作文件请点击http://gzjy.smx.gov.cn/SMX/InformationCenter/NewsDetail.do?CID=fdd6c8fc-bb0a-4c07-8715-d29609fc7a80&amp;ID=3061a14f-cf3f-4cdd-aad4-7e2873151413进行下载。</w:t>
            </w:r>
          </w:p>
          <w:p w14:paraId="0F97B34F">
            <w:pPr>
              <w:pStyle w:val="12"/>
              <w:wordWrap w:val="0"/>
              <w:spacing w:before="0" w:beforeAutospacing="0" w:after="0" w:afterAutospacing="0" w:line="360" w:lineRule="auto"/>
              <w:rPr>
                <w:rFonts w:hint="eastAsia" w:cs="宋体"/>
                <w:color w:val="auto"/>
                <w:kern w:val="2"/>
              </w:rPr>
            </w:pPr>
            <w:r>
              <w:rPr>
                <w:rFonts w:hint="eastAsia" w:cs="宋体"/>
                <w:color w:val="auto"/>
                <w:kern w:val="2"/>
              </w:rPr>
              <w:t>温馨提示：本项目为电子化、无纸化交易项目，为保证您能投标成功，请需仔细阅读以下条款。</w:t>
            </w:r>
          </w:p>
          <w:p w14:paraId="51612676">
            <w:pPr>
              <w:pStyle w:val="12"/>
              <w:wordWrap w:val="0"/>
              <w:spacing w:before="0" w:beforeAutospacing="0" w:after="0" w:afterAutospacing="0" w:line="360" w:lineRule="auto"/>
              <w:rPr>
                <w:rFonts w:hint="eastAsia" w:cs="宋体"/>
                <w:color w:val="auto"/>
                <w:kern w:val="2"/>
              </w:rPr>
            </w:pPr>
            <w:r>
              <w:rPr>
                <w:rFonts w:hint="eastAsia" w:cs="宋体"/>
                <w:color w:val="auto"/>
                <w:kern w:val="2"/>
              </w:rPr>
              <w:t>一、电子化投标</w:t>
            </w:r>
          </w:p>
          <w:p w14:paraId="283220B6">
            <w:pPr>
              <w:pStyle w:val="12"/>
              <w:wordWrap w:val="0"/>
              <w:spacing w:before="0" w:beforeAutospacing="0" w:after="0" w:afterAutospacing="0" w:line="360" w:lineRule="auto"/>
              <w:rPr>
                <w:rFonts w:hint="eastAsia" w:cs="宋体"/>
                <w:color w:val="auto"/>
                <w:kern w:val="2"/>
              </w:rPr>
            </w:pPr>
            <w:r>
              <w:rPr>
                <w:rFonts w:hint="eastAsia" w:cs="宋体"/>
                <w:color w:val="auto"/>
                <w:kern w:val="2"/>
              </w:rPr>
              <w:t>（一）电子化投标文件的签章</w:t>
            </w:r>
          </w:p>
          <w:p w14:paraId="20C24869">
            <w:pPr>
              <w:pStyle w:val="12"/>
              <w:wordWrap w:val="0"/>
              <w:spacing w:before="0" w:beforeAutospacing="0" w:after="0" w:afterAutospacing="0" w:line="360" w:lineRule="auto"/>
              <w:rPr>
                <w:rFonts w:hint="eastAsia" w:cs="宋体"/>
                <w:color w:val="auto"/>
                <w:kern w:val="2"/>
              </w:rPr>
            </w:pPr>
            <w:r>
              <w:rPr>
                <w:rFonts w:hint="eastAsia" w:cs="宋体"/>
                <w:color w:val="auto"/>
                <w:kern w:val="2"/>
              </w:rPr>
              <w:t>1、投标人在生成电子化投标文件后，应对电子化投标文件进行签章，未进行签章的视为无效投标。</w:t>
            </w:r>
          </w:p>
          <w:p w14:paraId="0F7D1BA7">
            <w:pPr>
              <w:pStyle w:val="12"/>
              <w:wordWrap w:val="0"/>
              <w:spacing w:before="0" w:beforeAutospacing="0" w:after="0" w:afterAutospacing="0" w:line="360" w:lineRule="auto"/>
              <w:rPr>
                <w:rFonts w:hint="eastAsia" w:cs="宋体"/>
                <w:bCs/>
                <w:color w:val="auto"/>
              </w:rPr>
            </w:pPr>
            <w:r>
              <w:rPr>
                <w:rFonts w:hint="eastAsia" w:cs="宋体"/>
                <w:color w:val="auto"/>
                <w:kern w:val="2"/>
              </w:rPr>
              <w:t>2、招标文件中要求法定代表人或授权委托人签字或盖章的，投标人在进行电子化投标文件签章时，以签盖法定代表人签章为准。</w:t>
            </w:r>
          </w:p>
          <w:p w14:paraId="14655BD2">
            <w:pPr>
              <w:pStyle w:val="12"/>
              <w:wordWrap w:val="0"/>
              <w:spacing w:before="0" w:beforeAutospacing="0" w:after="0" w:afterAutospacing="0" w:line="360" w:lineRule="auto"/>
              <w:rPr>
                <w:rFonts w:hint="eastAsia" w:cs="宋体"/>
                <w:color w:val="auto"/>
                <w:kern w:val="2"/>
              </w:rPr>
            </w:pPr>
            <w:r>
              <w:rPr>
                <w:rFonts w:hint="eastAsia" w:cs="宋体"/>
                <w:color w:val="auto"/>
                <w:kern w:val="2"/>
              </w:rPr>
              <w:t>（二）电子化投标文件的格式及上传投标</w:t>
            </w:r>
          </w:p>
          <w:p w14:paraId="2152C6BD">
            <w:pPr>
              <w:pStyle w:val="12"/>
              <w:wordWrap w:val="0"/>
              <w:spacing w:before="0" w:beforeAutospacing="0" w:after="0" w:afterAutospacing="0" w:line="360" w:lineRule="auto"/>
              <w:rPr>
                <w:rFonts w:hint="eastAsia" w:cs="宋体"/>
                <w:color w:val="auto"/>
                <w:kern w:val="2"/>
              </w:rPr>
            </w:pPr>
            <w:r>
              <w:rPr>
                <w:rFonts w:hint="eastAsia" w:cs="宋体"/>
                <w:color w:val="auto"/>
                <w:kern w:val="2"/>
              </w:rPr>
              <w:t>1、投标人所上传的电子化投标文件，应是通过中心投标文件制作系统制作的（投标文件制作工具下载地址：http://gzjy.smx.gov.cn/SMX/InformationCenter/NewsDetail.do?CID=fdd6c8fc-bb0a-4c07-8715-d29609fc7a80&amp;ID=3061a14f-cf3f-4cdd-aad4-7e2873151413），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2A797527">
            <w:pPr>
              <w:pStyle w:val="12"/>
              <w:wordWrap w:val="0"/>
              <w:spacing w:before="0" w:beforeAutospacing="0" w:after="0" w:afterAutospacing="0" w:line="360" w:lineRule="auto"/>
              <w:rPr>
                <w:rFonts w:hint="eastAsia" w:cs="宋体"/>
                <w:color w:val="auto"/>
                <w:kern w:val="2"/>
              </w:rPr>
            </w:pPr>
            <w:r>
              <w:rPr>
                <w:rFonts w:hint="eastAsia" w:cs="宋体"/>
                <w:color w:val="auto"/>
                <w:kern w:val="2"/>
              </w:rPr>
              <w:t>注：投标人投报多个标段的，需要每个标段单独制作电子投标文件。</w:t>
            </w:r>
          </w:p>
          <w:p w14:paraId="114AADC4">
            <w:pPr>
              <w:pStyle w:val="12"/>
              <w:wordWrap w:val="0"/>
              <w:spacing w:before="0" w:beforeAutospacing="0" w:after="0" w:afterAutospacing="0" w:line="360" w:lineRule="auto"/>
              <w:rPr>
                <w:rFonts w:hint="eastAsia" w:cs="宋体"/>
                <w:color w:val="auto"/>
                <w:kern w:val="2"/>
              </w:rPr>
            </w:pPr>
            <w:r>
              <w:rPr>
                <w:rFonts w:hint="eastAsia" w:cs="宋体"/>
                <w:color w:val="auto"/>
                <w:kern w:val="2"/>
              </w:rPr>
              <w:t>2、电子化投标文件应在投标截止时间前成功上传至三门峡市公共资源电子化交易系统。至投标截止时间止，仍未上传成功的电子化投标文件将不予接收。</w:t>
            </w:r>
          </w:p>
          <w:p w14:paraId="625CBD25">
            <w:pPr>
              <w:pStyle w:val="12"/>
              <w:wordWrap w:val="0"/>
              <w:spacing w:before="0" w:beforeAutospacing="0" w:after="0" w:afterAutospacing="0" w:line="360" w:lineRule="auto"/>
              <w:rPr>
                <w:rFonts w:hint="eastAsia" w:cs="宋体"/>
                <w:color w:val="auto"/>
                <w:kern w:val="2"/>
              </w:rPr>
            </w:pPr>
            <w:r>
              <w:rPr>
                <w:rFonts w:hint="eastAsia" w:cs="宋体"/>
                <w:color w:val="auto"/>
                <w:kern w:val="2"/>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CEB38FB">
            <w:pPr>
              <w:pStyle w:val="12"/>
              <w:wordWrap w:val="0"/>
              <w:spacing w:before="0" w:beforeAutospacing="0" w:after="0" w:afterAutospacing="0" w:line="360" w:lineRule="auto"/>
              <w:rPr>
                <w:rFonts w:hint="eastAsia" w:cs="宋体"/>
                <w:color w:val="auto"/>
                <w:kern w:val="2"/>
              </w:rPr>
            </w:pPr>
            <w:r>
              <w:rPr>
                <w:rFonts w:hint="eastAsia" w:cs="宋体"/>
                <w:color w:val="auto"/>
                <w:kern w:val="2"/>
              </w:rPr>
              <w:t>技术联系电话：400-998-0000</w:t>
            </w:r>
          </w:p>
          <w:p w14:paraId="46D80334">
            <w:pPr>
              <w:pStyle w:val="12"/>
              <w:wordWrap w:val="0"/>
              <w:spacing w:before="0" w:beforeAutospacing="0" w:after="0" w:afterAutospacing="0" w:line="360" w:lineRule="auto"/>
              <w:rPr>
                <w:rFonts w:hint="eastAsia" w:cs="宋体"/>
                <w:color w:val="auto"/>
                <w:kern w:val="2"/>
              </w:rPr>
            </w:pPr>
            <w:r>
              <w:rPr>
                <w:rFonts w:hint="eastAsia" w:cs="宋体"/>
                <w:color w:val="auto"/>
                <w:kern w:val="2"/>
              </w:rPr>
              <w:t>（三）电子化项目开标、解密、唱标、评标</w:t>
            </w:r>
          </w:p>
          <w:p w14:paraId="12C72DE5">
            <w:pPr>
              <w:pStyle w:val="12"/>
              <w:wordWrap w:val="0"/>
              <w:spacing w:before="0" w:beforeAutospacing="0" w:after="0" w:afterAutospacing="0" w:line="360" w:lineRule="auto"/>
              <w:rPr>
                <w:rFonts w:hint="eastAsia" w:cs="宋体"/>
                <w:color w:val="auto"/>
                <w:kern w:val="2"/>
              </w:rPr>
            </w:pPr>
            <w:r>
              <w:rPr>
                <w:rFonts w:hint="eastAsia" w:cs="宋体"/>
                <w:color w:val="auto"/>
                <w:kern w:val="2"/>
              </w:rPr>
              <w:t>1、本项目采用电子化、无纸化进行招标，开标当日，投标人无需到开标现场参加开标会议，投标人应当在投标截止时间前，登陆不见面开标大厅选择登陆三门峡市公共资源电子招投标系统进行登陆（网址为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0870C1E8">
            <w:pPr>
              <w:pStyle w:val="12"/>
              <w:wordWrap w:val="0"/>
              <w:spacing w:before="0" w:beforeAutospacing="0" w:after="0" w:afterAutospacing="0" w:line="360" w:lineRule="auto"/>
              <w:rPr>
                <w:rFonts w:hint="eastAsia" w:cs="宋体"/>
                <w:color w:val="auto"/>
                <w:kern w:val="2"/>
              </w:rPr>
            </w:pPr>
            <w:r>
              <w:rPr>
                <w:rFonts w:hint="eastAsia" w:cs="宋体"/>
                <w:color w:val="auto"/>
                <w:kern w:val="2"/>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5A448939">
            <w:pPr>
              <w:pStyle w:val="12"/>
              <w:wordWrap w:val="0"/>
              <w:spacing w:before="0" w:beforeAutospacing="0" w:after="0" w:afterAutospacing="0" w:line="360" w:lineRule="auto"/>
              <w:rPr>
                <w:rFonts w:hint="eastAsia" w:cs="宋体"/>
                <w:color w:val="auto"/>
                <w:kern w:val="2"/>
              </w:rPr>
            </w:pPr>
            <w:r>
              <w:rPr>
                <w:rFonts w:hint="eastAsia" w:cs="宋体"/>
                <w:color w:val="auto"/>
                <w:kern w:val="2"/>
              </w:rPr>
              <w:t>3、电子化投标文件解密异常的处理</w:t>
            </w:r>
          </w:p>
          <w:p w14:paraId="16558E09">
            <w:pPr>
              <w:pStyle w:val="12"/>
              <w:wordWrap w:val="0"/>
              <w:spacing w:before="0" w:beforeAutospacing="0" w:after="0" w:afterAutospacing="0" w:line="360" w:lineRule="auto"/>
              <w:rPr>
                <w:rFonts w:hint="eastAsia" w:cs="宋体"/>
                <w:color w:val="auto"/>
                <w:kern w:val="2"/>
              </w:rPr>
            </w:pPr>
            <w:r>
              <w:rPr>
                <w:rFonts w:hint="eastAsia" w:cs="宋体"/>
                <w:color w:val="auto"/>
                <w:kern w:val="2"/>
              </w:rPr>
              <w:t>如出现投标人的电子投标文件无法解密等异常情况，投标人应及时致电中介服务机构说明。投标文件异常，按以下步骤进行处理：</w:t>
            </w:r>
          </w:p>
          <w:p w14:paraId="71E14E25">
            <w:pPr>
              <w:pStyle w:val="12"/>
              <w:wordWrap w:val="0"/>
              <w:spacing w:before="0" w:beforeAutospacing="0" w:after="0" w:afterAutospacing="0" w:line="360" w:lineRule="auto"/>
              <w:rPr>
                <w:rFonts w:hint="eastAsia" w:cs="宋体"/>
                <w:color w:val="auto"/>
                <w:kern w:val="2"/>
              </w:rPr>
            </w:pPr>
            <w:r>
              <w:rPr>
                <w:rFonts w:hint="eastAsia" w:cs="宋体"/>
                <w:color w:val="auto"/>
                <w:kern w:val="2"/>
              </w:rPr>
              <w:t>（1）首先由技术人员进行问题排查。</w:t>
            </w:r>
          </w:p>
          <w:p w14:paraId="1B498F13">
            <w:pPr>
              <w:pStyle w:val="12"/>
              <w:wordWrap w:val="0"/>
              <w:spacing w:before="0" w:beforeAutospacing="0" w:after="0" w:afterAutospacing="0" w:line="360" w:lineRule="auto"/>
              <w:rPr>
                <w:rFonts w:hint="eastAsia" w:cs="宋体"/>
                <w:color w:val="auto"/>
                <w:kern w:val="2"/>
              </w:rPr>
            </w:pPr>
            <w:r>
              <w:rPr>
                <w:rFonts w:hint="eastAsia" w:cs="宋体"/>
                <w:color w:val="auto"/>
                <w:kern w:val="2"/>
              </w:rPr>
              <w:t>（2）经技术人员排查后，是投标人文件自身问题导致投标文件无法解密的，该投标文件将不予接收、解密和唱标。开标会议继续进行。</w:t>
            </w:r>
          </w:p>
          <w:p w14:paraId="2A42CF0C">
            <w:pPr>
              <w:pStyle w:val="12"/>
              <w:wordWrap w:val="0"/>
              <w:spacing w:before="0" w:beforeAutospacing="0" w:after="0" w:afterAutospacing="0" w:line="360" w:lineRule="auto"/>
              <w:rPr>
                <w:rFonts w:hint="eastAsia" w:cs="宋体"/>
                <w:color w:val="auto"/>
                <w:kern w:val="2"/>
              </w:rPr>
            </w:pPr>
            <w:r>
              <w:rPr>
                <w:rFonts w:hint="eastAsia" w:cs="宋体"/>
                <w:color w:val="auto"/>
                <w:kern w:val="2"/>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836B208">
            <w:pPr>
              <w:pStyle w:val="12"/>
              <w:wordWrap w:val="0"/>
              <w:spacing w:before="0" w:beforeAutospacing="0" w:after="0" w:afterAutospacing="0" w:line="360" w:lineRule="auto"/>
              <w:rPr>
                <w:rFonts w:hint="eastAsia" w:cs="宋体"/>
                <w:color w:val="auto"/>
                <w:kern w:val="2"/>
              </w:rPr>
            </w:pPr>
            <w:r>
              <w:rPr>
                <w:rFonts w:hint="eastAsia" w:cs="宋体"/>
                <w:color w:val="auto"/>
                <w:kern w:val="2"/>
              </w:rPr>
              <w:t>4、待所有投标人投标文件解密完成后，由中介服务机构操作，对所有已解密投标文件进行唱标。</w:t>
            </w:r>
          </w:p>
          <w:p w14:paraId="4CC2EF25">
            <w:pPr>
              <w:pStyle w:val="12"/>
              <w:wordWrap w:val="0"/>
              <w:spacing w:before="0" w:beforeAutospacing="0" w:after="0" w:afterAutospacing="0" w:line="360" w:lineRule="auto"/>
              <w:rPr>
                <w:rFonts w:hint="eastAsia" w:cs="宋体"/>
                <w:color w:val="auto"/>
                <w:kern w:val="2"/>
              </w:rPr>
            </w:pPr>
            <w:r>
              <w:rPr>
                <w:rFonts w:hint="eastAsia" w:cs="宋体"/>
                <w:color w:val="auto"/>
                <w:kern w:val="2"/>
              </w:rPr>
              <w:t>投标人应保证在开标期间电话、电脑、网络能够正常工作，投标人因停电、电脑病毒、网络堵塞等原因，未在规定的解密时间内对投标文件进行解密的，其投标文件不予接收、唱标。</w:t>
            </w:r>
          </w:p>
          <w:p w14:paraId="42A04B49">
            <w:pPr>
              <w:pStyle w:val="12"/>
              <w:wordWrap w:val="0"/>
              <w:spacing w:before="0" w:beforeAutospacing="0" w:after="0" w:afterAutospacing="0" w:line="360" w:lineRule="auto"/>
              <w:rPr>
                <w:rFonts w:hint="eastAsia" w:cs="宋体"/>
                <w:color w:val="auto"/>
                <w:kern w:val="2"/>
              </w:rPr>
            </w:pPr>
            <w:r>
              <w:rPr>
                <w:rFonts w:hint="eastAsia" w:cs="宋体"/>
                <w:color w:val="auto"/>
                <w:kern w:val="2"/>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33C75F01">
            <w:pPr>
              <w:pStyle w:val="12"/>
              <w:wordWrap w:val="0"/>
              <w:spacing w:before="0" w:beforeAutospacing="0" w:after="0" w:afterAutospacing="0" w:line="360" w:lineRule="auto"/>
              <w:rPr>
                <w:rFonts w:hint="eastAsia" w:cs="宋体"/>
                <w:color w:val="auto"/>
                <w:kern w:val="2"/>
              </w:rPr>
            </w:pPr>
            <w:r>
              <w:rPr>
                <w:rFonts w:hint="eastAsia" w:cs="宋体"/>
                <w:color w:val="auto"/>
                <w:kern w:val="2"/>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77E91411">
            <w:pPr>
              <w:pStyle w:val="12"/>
              <w:wordWrap w:val="0"/>
              <w:spacing w:before="0" w:beforeAutospacing="0" w:after="0" w:afterAutospacing="0" w:line="360" w:lineRule="auto"/>
              <w:rPr>
                <w:rFonts w:hint="eastAsia" w:cs="宋体"/>
                <w:color w:val="auto"/>
                <w:kern w:val="2"/>
              </w:rPr>
            </w:pPr>
            <w:r>
              <w:rPr>
                <w:rFonts w:hint="eastAsia" w:cs="宋体"/>
                <w:color w:val="auto"/>
                <w:kern w:val="2"/>
              </w:rPr>
              <w:t>7、如评标委员会对需要回复的投标人连续三次致电未接通的，视为投标人放弃回复，评标委员会将自行对需要回复的内容进行认定。</w:t>
            </w:r>
          </w:p>
          <w:p w14:paraId="34484279">
            <w:pPr>
              <w:pStyle w:val="12"/>
              <w:wordWrap w:val="0"/>
              <w:spacing w:before="0" w:beforeAutospacing="0" w:after="0" w:afterAutospacing="0" w:line="360" w:lineRule="auto"/>
              <w:rPr>
                <w:rFonts w:hint="eastAsia" w:cs="宋体"/>
                <w:color w:val="auto"/>
                <w:kern w:val="2"/>
              </w:rPr>
            </w:pPr>
            <w:r>
              <w:rPr>
                <w:rFonts w:hint="eastAsia" w:cs="宋体"/>
                <w:color w:val="auto"/>
                <w:kern w:val="2"/>
              </w:rPr>
              <w:t>二、资格审查资料</w:t>
            </w:r>
          </w:p>
          <w:p w14:paraId="21AF843F">
            <w:pPr>
              <w:pStyle w:val="12"/>
              <w:wordWrap w:val="0"/>
              <w:spacing w:before="0" w:beforeAutospacing="0" w:after="0" w:afterAutospacing="0" w:line="360" w:lineRule="auto"/>
              <w:rPr>
                <w:rFonts w:hint="eastAsia" w:cs="宋体"/>
                <w:color w:val="auto"/>
              </w:rPr>
            </w:pPr>
            <w:r>
              <w:rPr>
                <w:rFonts w:hint="eastAsia" w:cs="宋体"/>
                <w:color w:val="auto"/>
                <w:kern w:val="2"/>
              </w:rPr>
              <w:t>本项目实行资格后审，资格评审以投标文件为准，其上传资料真实性由投标人自行承担，同时投标人要完善主体库。提示：本项目为电子化、无纸化交易项目，为保证您能投标成功，请需仔细阅读以上条款。</w:t>
            </w:r>
          </w:p>
        </w:tc>
      </w:tr>
    </w:tbl>
    <w:p w14:paraId="54CC946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26" w:name="_Toc20823275"/>
      <w:bookmarkEnd w:id="26"/>
      <w:bookmarkStart w:id="27" w:name="_Toc517178993"/>
      <w:bookmarkEnd w:id="27"/>
      <w:bookmarkStart w:id="28" w:name="_Toc16770549"/>
      <w:bookmarkEnd w:id="28"/>
      <w:bookmarkStart w:id="29" w:name="_Toc120614214"/>
      <w:bookmarkEnd w:id="29"/>
      <w:bookmarkStart w:id="30" w:name="_Toc16938519"/>
      <w:bookmarkEnd w:id="30"/>
      <w:bookmarkStart w:id="31" w:name="_Toc513029203"/>
      <w:bookmarkEnd w:id="31"/>
      <w:r>
        <w:rPr>
          <w:rFonts w:hint="eastAsia" w:ascii="宋体" w:hAnsi="宋体" w:eastAsia="宋体" w:cs="宋体"/>
          <w:color w:val="auto"/>
          <w:kern w:val="0"/>
          <w:sz w:val="24"/>
        </w:rPr>
        <w:t>1. 总则</w:t>
      </w:r>
    </w:p>
    <w:p w14:paraId="6E3C9C5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32" w:name="_bookmark21"/>
      <w:bookmarkEnd w:id="32"/>
      <w:r>
        <w:rPr>
          <w:rFonts w:hint="eastAsia" w:ascii="宋体" w:hAnsi="宋体" w:eastAsia="宋体" w:cs="宋体"/>
          <w:color w:val="auto"/>
          <w:kern w:val="0"/>
          <w:sz w:val="24"/>
        </w:rPr>
        <w:t>1.1招标项目概况</w:t>
      </w:r>
    </w:p>
    <w:p w14:paraId="3378EA0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1.1.1根据《中华人民共和国政府采购法》、《中华人民共和国政府采购法实施条例》等有关法律、法规和规章的规定，本招标项目已具备招标条件，现对本项目进行招标。</w:t>
      </w:r>
    </w:p>
    <w:p w14:paraId="5B1C4A4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1.1.2</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：见供应商须知前附表。</w:t>
      </w:r>
    </w:p>
    <w:p w14:paraId="7CAC813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1.1.3采购代理机构：见供应商须知前附表。</w:t>
      </w:r>
    </w:p>
    <w:p w14:paraId="6F7B57C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1.1.4项目名称：见供应商须知前附表。</w:t>
      </w:r>
    </w:p>
    <w:p w14:paraId="74CC480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1.1.5  采购方式：见供应商须知前附表。</w:t>
      </w:r>
    </w:p>
    <w:p w14:paraId="352AF15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1.1.6  采购内容:见供应商须知前附表。</w:t>
      </w:r>
    </w:p>
    <w:p w14:paraId="16BC5B8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1.2  招标项目的资金来源和落实情况</w:t>
      </w:r>
    </w:p>
    <w:p w14:paraId="418C127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1.2.1 资金来源：见供应商须知前附表。</w:t>
      </w:r>
    </w:p>
    <w:p w14:paraId="45AFD7F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1.2.2 资金落实情况：见供应商须知前附表。</w:t>
      </w:r>
    </w:p>
    <w:p w14:paraId="27C1BBE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33" w:name="_bookmark23"/>
      <w:bookmarkEnd w:id="33"/>
      <w:r>
        <w:rPr>
          <w:rFonts w:hint="eastAsia" w:ascii="宋体" w:hAnsi="宋体" w:eastAsia="宋体" w:cs="宋体"/>
          <w:color w:val="auto"/>
          <w:kern w:val="0"/>
          <w:sz w:val="24"/>
        </w:rPr>
        <w:t>1.3招标范围、</w:t>
      </w:r>
      <w:r>
        <w:rPr>
          <w:rFonts w:hint="eastAsia" w:ascii="宋体" w:hAnsi="宋体" w:eastAsia="宋体" w:cs="宋体"/>
          <w:color w:val="auto"/>
          <w:kern w:val="0"/>
          <w:sz w:val="24"/>
          <w:lang w:eastAsia="zh-CN"/>
        </w:rPr>
        <w:t>供货安装期</w:t>
      </w:r>
      <w:r>
        <w:rPr>
          <w:rFonts w:hint="eastAsia" w:ascii="宋体" w:hAnsi="宋体" w:eastAsia="宋体" w:cs="宋体"/>
          <w:color w:val="auto"/>
          <w:kern w:val="0"/>
          <w:sz w:val="24"/>
        </w:rPr>
        <w:t>、供货地点和质量要求</w:t>
      </w:r>
    </w:p>
    <w:p w14:paraId="7FF3FA9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1.3.1 招标范围：见供应商须知前附表。</w:t>
      </w:r>
    </w:p>
    <w:p w14:paraId="2B20F5D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1.3.2  </w:t>
      </w:r>
      <w:r>
        <w:rPr>
          <w:rFonts w:hint="eastAsia" w:ascii="宋体" w:hAnsi="宋体" w:eastAsia="宋体" w:cs="宋体"/>
          <w:color w:val="auto"/>
          <w:kern w:val="0"/>
          <w:sz w:val="24"/>
          <w:lang w:val="en-US" w:eastAsia="zh-CN"/>
        </w:rPr>
        <w:t>供货期</w:t>
      </w:r>
      <w:r>
        <w:rPr>
          <w:rFonts w:hint="eastAsia" w:ascii="宋体" w:hAnsi="宋体" w:eastAsia="宋体" w:cs="宋体"/>
          <w:color w:val="auto"/>
          <w:kern w:val="0"/>
          <w:sz w:val="24"/>
        </w:rPr>
        <w:t>：见供应商须知前附表。</w:t>
      </w:r>
    </w:p>
    <w:p w14:paraId="4B1DA57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1.3.3  供货地点：见供应商须知前附表。</w:t>
      </w:r>
    </w:p>
    <w:p w14:paraId="426E57C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1.3.4  质量要求：见供应商须知前附表。</w:t>
      </w:r>
    </w:p>
    <w:p w14:paraId="13E4E31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34" w:name="_bookmark24"/>
      <w:bookmarkEnd w:id="34"/>
      <w:r>
        <w:rPr>
          <w:rFonts w:hint="eastAsia" w:ascii="宋体" w:hAnsi="宋体" w:eastAsia="宋体" w:cs="宋体"/>
          <w:color w:val="auto"/>
          <w:kern w:val="0"/>
          <w:sz w:val="24"/>
        </w:rPr>
        <w:t>1.4供应商资格要求</w:t>
      </w:r>
    </w:p>
    <w:p w14:paraId="0CB8C36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1.4.1 见供应商须知前附表。</w:t>
      </w:r>
    </w:p>
    <w:p w14:paraId="0E21D11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1.4.2 是否接受联合体投标：见供应商须知前附表。</w:t>
      </w:r>
    </w:p>
    <w:p w14:paraId="0F95DE2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1.4.3 供应商不得存在下列情形之一：</w:t>
      </w:r>
    </w:p>
    <w:p w14:paraId="6380938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（1）与</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存在利害关系且可能影响招标公正性；</w:t>
      </w:r>
    </w:p>
    <w:p w14:paraId="5B77E3A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（2）与本招标项目的其他供应商为同一个单位负责人；</w:t>
      </w:r>
    </w:p>
    <w:p w14:paraId="6AB4D7A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（3）与本招标项目的其他供应商存在控股、管理关系；</w:t>
      </w:r>
    </w:p>
    <w:p w14:paraId="637A31D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（4）被依法暂停或者取消投标资格；</w:t>
      </w:r>
    </w:p>
    <w:p w14:paraId="2CBA06C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（5）被责令停产停业、暂扣或者吊销许可证、暂扣或者吊销执照；</w:t>
      </w:r>
    </w:p>
    <w:p w14:paraId="1DB1327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35" w:name="_bookmark25"/>
      <w:bookmarkEnd w:id="35"/>
      <w:r>
        <w:rPr>
          <w:rFonts w:hint="eastAsia" w:ascii="宋体" w:hAnsi="宋体" w:eastAsia="宋体" w:cs="宋体"/>
          <w:color w:val="auto"/>
          <w:kern w:val="0"/>
          <w:sz w:val="24"/>
        </w:rPr>
        <w:t>1.5 费用承担</w:t>
      </w:r>
    </w:p>
    <w:p w14:paraId="1597240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供应商准备和参加投标活动发生的费用自理。</w:t>
      </w:r>
    </w:p>
    <w:p w14:paraId="0FDCA52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36" w:name="_bookmark26"/>
      <w:bookmarkEnd w:id="36"/>
      <w:r>
        <w:rPr>
          <w:rFonts w:hint="eastAsia" w:ascii="宋体" w:hAnsi="宋体" w:eastAsia="宋体" w:cs="宋体"/>
          <w:color w:val="auto"/>
          <w:kern w:val="0"/>
          <w:sz w:val="24"/>
        </w:rPr>
        <w:t>1.6 保密</w:t>
      </w:r>
    </w:p>
    <w:p w14:paraId="17F393D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参与招标投标活动的各方应对招标文件和投标文件中的商业和技术等秘密保密，否则应承担相应的法律责任。</w:t>
      </w:r>
    </w:p>
    <w:p w14:paraId="2E36278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37" w:name="_bookmark27"/>
      <w:bookmarkEnd w:id="37"/>
      <w:r>
        <w:rPr>
          <w:rFonts w:hint="eastAsia" w:ascii="宋体" w:hAnsi="宋体" w:eastAsia="宋体" w:cs="宋体"/>
          <w:color w:val="auto"/>
          <w:kern w:val="0"/>
          <w:sz w:val="24"/>
        </w:rPr>
        <w:t>1.7 语言文字</w:t>
      </w:r>
    </w:p>
    <w:p w14:paraId="2272F5A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招标投标文件使用的语言文字为中文。专用术语使用外文的，应附有中文注释。</w:t>
      </w:r>
    </w:p>
    <w:p w14:paraId="2A2B205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38" w:name="_bookmark28"/>
      <w:bookmarkEnd w:id="38"/>
      <w:r>
        <w:rPr>
          <w:rFonts w:hint="eastAsia" w:ascii="宋体" w:hAnsi="宋体" w:eastAsia="宋体" w:cs="宋体"/>
          <w:color w:val="auto"/>
          <w:kern w:val="0"/>
          <w:sz w:val="24"/>
        </w:rPr>
        <w:t>1.8计量单位</w:t>
      </w:r>
    </w:p>
    <w:p w14:paraId="2112B6B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所有计量均采用中华人民共和国法定计量单位。</w:t>
      </w:r>
    </w:p>
    <w:p w14:paraId="29B9875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39" w:name="_bookmark29"/>
      <w:bookmarkEnd w:id="39"/>
      <w:r>
        <w:rPr>
          <w:rFonts w:hint="eastAsia" w:ascii="宋体" w:hAnsi="宋体" w:eastAsia="宋体" w:cs="宋体"/>
          <w:color w:val="auto"/>
          <w:kern w:val="0"/>
          <w:sz w:val="24"/>
        </w:rPr>
        <w:t>1.9 投标预备会</w:t>
      </w:r>
    </w:p>
    <w:p w14:paraId="0B1C6D7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1.9.1 投标预备会：见供应商须知前附表</w:t>
      </w:r>
    </w:p>
    <w:p w14:paraId="4A66725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40" w:name="_bookmark30"/>
      <w:bookmarkEnd w:id="40"/>
      <w:r>
        <w:rPr>
          <w:rFonts w:hint="eastAsia" w:ascii="宋体" w:hAnsi="宋体" w:eastAsia="宋体" w:cs="宋体"/>
          <w:color w:val="auto"/>
          <w:kern w:val="0"/>
          <w:sz w:val="24"/>
        </w:rPr>
        <w:t>1.10分包</w:t>
      </w:r>
    </w:p>
    <w:p w14:paraId="17B1F11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1.10.1 分包：见供应商须知前附表</w:t>
      </w:r>
    </w:p>
    <w:p w14:paraId="5DCB435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41" w:name="_bookmark31"/>
      <w:bookmarkEnd w:id="41"/>
      <w:r>
        <w:rPr>
          <w:rFonts w:hint="eastAsia" w:ascii="宋体" w:hAnsi="宋体" w:eastAsia="宋体" w:cs="宋体"/>
          <w:color w:val="auto"/>
          <w:kern w:val="0"/>
          <w:sz w:val="24"/>
        </w:rPr>
        <w:t>1.11响应和偏差</w:t>
      </w:r>
    </w:p>
    <w:p w14:paraId="19B1034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1.11.1  偏离：见供应商须知前附表</w:t>
      </w:r>
    </w:p>
    <w:p w14:paraId="28F2117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42" w:name="6、招标文件的构成"/>
      <w:bookmarkEnd w:id="42"/>
      <w:bookmarkStart w:id="43" w:name="7、招标文件的澄清及修改"/>
      <w:bookmarkEnd w:id="43"/>
      <w:bookmarkStart w:id="44" w:name="8、投标文件编制"/>
      <w:bookmarkEnd w:id="44"/>
      <w:r>
        <w:rPr>
          <w:rFonts w:hint="eastAsia" w:ascii="宋体" w:hAnsi="宋体" w:eastAsia="宋体" w:cs="宋体"/>
          <w:color w:val="auto"/>
          <w:kern w:val="0"/>
          <w:sz w:val="24"/>
        </w:rPr>
        <w:t>招标文件</w:t>
      </w:r>
    </w:p>
    <w:p w14:paraId="26A1ABE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45" w:name="_bookmark33"/>
      <w:bookmarkEnd w:id="45"/>
      <w:r>
        <w:rPr>
          <w:rFonts w:hint="eastAsia" w:ascii="宋体" w:hAnsi="宋体" w:eastAsia="宋体" w:cs="宋体"/>
          <w:color w:val="auto"/>
          <w:kern w:val="0"/>
          <w:sz w:val="24"/>
        </w:rPr>
        <w:t>2.1  招标文件的组成</w:t>
      </w:r>
    </w:p>
    <w:p w14:paraId="0F3EDAA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本招标文件包括：</w:t>
      </w:r>
    </w:p>
    <w:p w14:paraId="35A48CB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（1）招标公告；</w:t>
      </w:r>
    </w:p>
    <w:p w14:paraId="318880F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（2）供应商须知；</w:t>
      </w:r>
    </w:p>
    <w:p w14:paraId="210CF13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lang w:val="en-US" w:eastAsia="zh-CN"/>
        </w:rPr>
        <w:t>需求</w:t>
      </w:r>
      <w:r>
        <w:rPr>
          <w:rFonts w:hint="eastAsia" w:ascii="宋体" w:hAnsi="宋体" w:eastAsia="宋体" w:cs="宋体"/>
          <w:color w:val="auto"/>
          <w:kern w:val="0"/>
          <w:sz w:val="24"/>
        </w:rPr>
        <w:t>；</w:t>
      </w:r>
    </w:p>
    <w:p w14:paraId="5867C3D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（4）评标办法；</w:t>
      </w:r>
    </w:p>
    <w:p w14:paraId="2A109DB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（5）合同条款及格式；</w:t>
      </w:r>
    </w:p>
    <w:p w14:paraId="5EEADBE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（6）投标文件格式；</w:t>
      </w:r>
    </w:p>
    <w:p w14:paraId="27FCD4C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根据本章第2.2款和第2.3款对招标文件所作的澄清、修改，构成招标文件的组成部分。</w:t>
      </w:r>
    </w:p>
    <w:p w14:paraId="1CCBA8B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46" w:name="_bookmark34"/>
      <w:bookmarkEnd w:id="46"/>
      <w:r>
        <w:rPr>
          <w:rFonts w:hint="eastAsia" w:ascii="宋体" w:hAnsi="宋体" w:eastAsia="宋体" w:cs="宋体"/>
          <w:color w:val="auto"/>
          <w:kern w:val="0"/>
          <w:sz w:val="24"/>
        </w:rPr>
        <w:t>2.2  招标文件的澄清</w:t>
      </w:r>
    </w:p>
    <w:p w14:paraId="140A4C2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2.2.1 供应商应仔细阅读和检查招标文件的全部内容。如发现缺页或附件不全，应及时向</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提出，以便补齐。如有疑问，应在投标人须知前附表规定的时间在三门峡市公共资源交易系统中提出质询，要求</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对招标文件予以澄清。</w:t>
      </w:r>
    </w:p>
    <w:p w14:paraId="110C5DE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2.2.2 招标文件的澄清将在投标供应商须知前附表规定的时间前，将需澄清及答疑内容在三门峡市公共资源交易中心网以网上形式通知所有已下载招标文件的潜在供应商，但不指明澄清问题的来源。澄清发出的时间距投标截止时间不足15日的，并且澄清内容可能影响投标文件编制的，将相应延长投标截止时间。</w:t>
      </w:r>
    </w:p>
    <w:p w14:paraId="16E0D5A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2.2.3 投标人应自行查看澄清信息。</w:t>
      </w:r>
    </w:p>
    <w:p w14:paraId="2D09783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2.2.4 除非</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认为确有必要答复，否则，</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有权拒绝回复供应商在本章第 2.2.1 项规定的时间后的任何澄清要求。</w:t>
      </w:r>
    </w:p>
    <w:p w14:paraId="1B8E4D8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47" w:name="_bookmark35"/>
      <w:bookmarkEnd w:id="47"/>
      <w:r>
        <w:rPr>
          <w:rFonts w:hint="eastAsia" w:ascii="宋体" w:hAnsi="宋体" w:eastAsia="宋体" w:cs="宋体"/>
          <w:color w:val="auto"/>
          <w:kern w:val="0"/>
          <w:sz w:val="24"/>
        </w:rPr>
        <w:t>2.3  招标文件的修改</w:t>
      </w:r>
    </w:p>
    <w:p w14:paraId="109C398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2.3.1  </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以供应商须知前附表规定的形式修改招标文件，在投标截止时间15天前，</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可以修改招标文件，并以三门峡市公共资源交易中心系统发布变更公告形式通知所有获取招标文件的潜在供应商，修改招标文件的时间距本章规定的投标截止时间不足15日的，并且修改内容可能影响投标文件编制的，将相应延长投标截止时间。</w:t>
      </w:r>
    </w:p>
    <w:p w14:paraId="4D71438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2.3.2当招标文件、修改补充通知、澄清文件内容相互矛盾时，以最后发出的通知或修改文件为准。</w:t>
      </w:r>
    </w:p>
    <w:p w14:paraId="3E43C3A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 投标文件</w:t>
      </w:r>
    </w:p>
    <w:p w14:paraId="4F245B5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48" w:name="_bookmark38"/>
      <w:bookmarkEnd w:id="48"/>
      <w:r>
        <w:rPr>
          <w:rFonts w:hint="eastAsia" w:ascii="宋体" w:hAnsi="宋体" w:eastAsia="宋体" w:cs="宋体"/>
          <w:color w:val="auto"/>
          <w:kern w:val="0"/>
          <w:sz w:val="24"/>
        </w:rPr>
        <w:t>3.1  投标文件的组成</w:t>
      </w:r>
    </w:p>
    <w:p w14:paraId="31FE1E9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3.1.1 投标文件应包括下列内容：</w:t>
      </w:r>
    </w:p>
    <w:p w14:paraId="7783DEF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一、投标函</w:t>
      </w:r>
    </w:p>
    <w:p w14:paraId="50F2E17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二、法定代表人身份证明书</w:t>
      </w:r>
    </w:p>
    <w:p w14:paraId="659E58F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w:t>
      </w:r>
      <w:r>
        <w:rPr>
          <w:rFonts w:hint="eastAsia" w:ascii="宋体" w:hAnsi="宋体" w:eastAsia="宋体" w:cs="宋体"/>
          <w:color w:val="auto"/>
          <w:kern w:val="0"/>
          <w:sz w:val="24"/>
        </w:rPr>
        <w:t>、法定代表人授权书</w:t>
      </w:r>
    </w:p>
    <w:p w14:paraId="75D5321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w:t>
      </w:r>
      <w:r>
        <w:rPr>
          <w:rFonts w:hint="eastAsia" w:ascii="宋体" w:hAnsi="宋体" w:eastAsia="宋体" w:cs="宋体"/>
          <w:color w:val="auto"/>
          <w:kern w:val="0"/>
          <w:sz w:val="24"/>
        </w:rPr>
        <w:t>、投标承诺书</w:t>
      </w:r>
    </w:p>
    <w:p w14:paraId="688F5A7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五、技术标</w:t>
      </w:r>
    </w:p>
    <w:p w14:paraId="270F3CC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六、资格审查资料</w:t>
      </w:r>
    </w:p>
    <w:p w14:paraId="18A2B4C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七、</w:t>
      </w:r>
      <w:r>
        <w:rPr>
          <w:rFonts w:hint="eastAsia" w:ascii="宋体" w:hAnsi="宋体" w:eastAsia="宋体" w:cs="宋体"/>
          <w:color w:val="auto"/>
          <w:kern w:val="0"/>
          <w:sz w:val="24"/>
          <w:lang w:val="en-US" w:eastAsia="zh-CN"/>
        </w:rPr>
        <w:t>商务标</w:t>
      </w:r>
    </w:p>
    <w:p w14:paraId="2E6FC79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八、其他资料</w:t>
      </w:r>
    </w:p>
    <w:p w14:paraId="00FED0A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3.2  投标报价</w:t>
      </w:r>
    </w:p>
    <w:p w14:paraId="7E0C897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3.2.1 投标报价应包括国家规定的增值税税金，除供应商须知前附表另有规定外，增值税税金按一般计税方法计算。供应商应按第六章“投标文件格式”的要求在投标函中进行报价。</w:t>
      </w:r>
    </w:p>
    <w:p w14:paraId="51AE39E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3.2.2 供应商应充分了解该项目的总体情况以及影响投标报价的其他要素。供应商所报的投标报价均应为目的地交货价，包括</w:t>
      </w:r>
      <w:bookmarkStart w:id="49" w:name="OLE_LINK7"/>
      <w:r>
        <w:rPr>
          <w:rFonts w:hint="eastAsia" w:ascii="宋体" w:hAnsi="宋体" w:eastAsia="宋体" w:cs="宋体"/>
          <w:color w:val="auto"/>
          <w:kern w:val="0"/>
          <w:sz w:val="24"/>
        </w:rPr>
        <w:t>本项目供货、运输、保险、利润、税金、售后服务等所有费用</w:t>
      </w:r>
      <w:bookmarkEnd w:id="49"/>
      <w:r>
        <w:rPr>
          <w:rFonts w:hint="eastAsia" w:ascii="宋体" w:hAnsi="宋体" w:eastAsia="宋体" w:cs="宋体"/>
          <w:color w:val="auto"/>
          <w:kern w:val="0"/>
          <w:sz w:val="24"/>
        </w:rPr>
        <w:t>。</w:t>
      </w:r>
    </w:p>
    <w:p w14:paraId="58DE25F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3.2.3 </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设有最高投标限价的，供应商的投标报价不得超过最高投标限价。最高投标限价在供应商须知前附表中载明。</w:t>
      </w:r>
    </w:p>
    <w:p w14:paraId="5536FFA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3.2.4全部报价均应以人民币为计量币种，并以人民币进行结算。</w:t>
      </w:r>
    </w:p>
    <w:p w14:paraId="2B2F603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3.2.5</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对供应商提供的货物有权利到生产厂家进行考察和交货前验货，供应商应提供便利条件。</w:t>
      </w:r>
    </w:p>
    <w:p w14:paraId="56FED72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3.2.6 投标报价的其他要求见供应商须知前附表。</w:t>
      </w:r>
    </w:p>
    <w:p w14:paraId="5B50DD1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3.3  投标有效期</w:t>
      </w:r>
    </w:p>
    <w:p w14:paraId="4E5344F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3.3.1 投标有效期详见供应商须知前附表。</w:t>
      </w:r>
    </w:p>
    <w:p w14:paraId="718F917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3.3.2 在投标有效期内，供应商撤销投标文件的，应承担招标文件和法律规定的责任。</w:t>
      </w:r>
    </w:p>
    <w:p w14:paraId="0CB34DF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3.3.3 出现特殊情况需要延长投标有效期的，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以书面形式通知所有供应商延长投标有效期。供应商应予以书面答复，同意延长的，不得要求或被允许修改其投标文件；供应商拒绝延长的，其投标失效。供应商答复不明确或者逾期未答复的，均视为拒绝延长有效期。</w:t>
      </w:r>
    </w:p>
    <w:p w14:paraId="1BECDBD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 3.4 投标保证金</w:t>
      </w:r>
    </w:p>
    <w:p w14:paraId="71C3AD9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3.4.1.按照《河南省财政厅关于优化政府采购营商环境有关问题的通知》（豫财购[2019]4号文）的要求本项目不再收取投标保证金。</w:t>
      </w:r>
    </w:p>
    <w:p w14:paraId="6680A96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50" w:name="_bookmark43"/>
      <w:bookmarkEnd w:id="50"/>
      <w:r>
        <w:rPr>
          <w:rFonts w:hint="eastAsia" w:ascii="宋体" w:hAnsi="宋体" w:eastAsia="宋体" w:cs="宋体"/>
          <w:color w:val="auto"/>
          <w:kern w:val="0"/>
          <w:sz w:val="24"/>
        </w:rPr>
        <w:t>3.5 资格审查资料</w:t>
      </w:r>
    </w:p>
    <w:p w14:paraId="273F3C25">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详见招标公告，经评审后合格供应商不足3家的，不得评标。</w:t>
      </w:r>
    </w:p>
    <w:p w14:paraId="19AB66E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51" w:name="_bookmark44"/>
      <w:bookmarkEnd w:id="51"/>
      <w:r>
        <w:rPr>
          <w:rFonts w:hint="eastAsia" w:ascii="宋体" w:hAnsi="宋体" w:eastAsia="宋体" w:cs="宋体"/>
          <w:color w:val="auto"/>
          <w:kern w:val="0"/>
          <w:sz w:val="24"/>
        </w:rPr>
        <w:t>3.6 备选投标方案</w:t>
      </w:r>
    </w:p>
    <w:p w14:paraId="3FA2842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3.6.1 除供应商须知前附表规定允许外，供应商不得递交备选投标方案，否则其投标将被否决。</w:t>
      </w:r>
    </w:p>
    <w:p w14:paraId="4565A92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3.6.2 允许供应商递交备选投标方案的，只有中标人所递交的备选投标方案方可予以考虑。评标委员会认为中标人的备选投标方案优于其按照招标文件要求编制的投标方案的，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可以接受该备选投标方案。</w:t>
      </w:r>
    </w:p>
    <w:p w14:paraId="7D1AE0F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3.6.3 供应商提供两个或两个以上投标报价，或者在投标文件中提供一个报价，但同时提供两个或两个以上供货方案的，视为提供备选方案。</w:t>
      </w:r>
      <w:bookmarkStart w:id="52" w:name="_bookmark45"/>
      <w:bookmarkEnd w:id="52"/>
    </w:p>
    <w:p w14:paraId="5A242D7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3.7  投标文件的编制</w:t>
      </w:r>
    </w:p>
    <w:p w14:paraId="15FB094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3.7.1 投标文件应按第六章“投标文件格式”进行编写，如有必要，可以增加附页，作为投标文件的组成部分。其中，投标函附录在满足招标文件实质性要求的基础上，可以提出比招标文件要求更有利于</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的承诺。</w:t>
      </w:r>
    </w:p>
    <w:p w14:paraId="395B3F9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3.7.2 投标文件应当对招标文件有关</w:t>
      </w:r>
      <w:r>
        <w:rPr>
          <w:rFonts w:hint="eastAsia" w:ascii="宋体" w:hAnsi="宋体" w:eastAsia="宋体" w:cs="宋体"/>
          <w:color w:val="auto"/>
          <w:kern w:val="0"/>
          <w:sz w:val="24"/>
          <w:lang w:eastAsia="zh-CN"/>
        </w:rPr>
        <w:t>供货期</w:t>
      </w:r>
      <w:r>
        <w:rPr>
          <w:rFonts w:hint="eastAsia" w:ascii="宋体" w:hAnsi="宋体" w:eastAsia="宋体" w:cs="宋体"/>
          <w:color w:val="auto"/>
          <w:kern w:val="0"/>
          <w:sz w:val="24"/>
        </w:rPr>
        <w:t>、投标有效期、质量要求、货物技术指标和要求、招标范围等实质性内容做出响应。</w:t>
      </w:r>
    </w:p>
    <w:p w14:paraId="02CCE4B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3.8 投标文件的签署</w:t>
      </w:r>
    </w:p>
    <w:p w14:paraId="524E264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（1）电子投标文件必须上传电子投标系统。</w:t>
      </w:r>
    </w:p>
    <w:p w14:paraId="055F561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（2）电子投标文件由供应商的法定代表人签字或盖章。</w:t>
      </w:r>
    </w:p>
    <w:p w14:paraId="12E075B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4.投标</w:t>
      </w:r>
    </w:p>
    <w:p w14:paraId="7DA5B58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4.1 电子投标文件的递交</w:t>
      </w:r>
    </w:p>
    <w:p w14:paraId="4B49AAE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4.1.1 供应商应在规定的投标截止时间前递交投标文件。</w:t>
      </w:r>
    </w:p>
    <w:p w14:paraId="13D34595">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4.1.2 供应商递交投标文件的地点：见供应商须知前附表。</w:t>
      </w:r>
    </w:p>
    <w:p w14:paraId="7DC67CA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4.1.3 逾期送达的或者未送达指定地点的投标文件，</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不予受理。</w:t>
      </w:r>
    </w:p>
    <w:p w14:paraId="79929EA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4.1.4 供应商所递交的投标文件不予退还。</w:t>
      </w:r>
    </w:p>
    <w:p w14:paraId="6D8537F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 开标</w:t>
      </w:r>
    </w:p>
    <w:p w14:paraId="0965946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53" w:name="_bookmark51"/>
      <w:bookmarkEnd w:id="53"/>
      <w:r>
        <w:rPr>
          <w:rFonts w:hint="eastAsia" w:ascii="宋体" w:hAnsi="宋体" w:eastAsia="宋体" w:cs="宋体"/>
          <w:color w:val="auto"/>
          <w:kern w:val="0"/>
          <w:sz w:val="24"/>
        </w:rPr>
        <w:t>5.1</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按本须知前附表所规定的时间和地点公开开标。开标会议由招标代理机构主持，在有关部门监督下进行。</w:t>
      </w:r>
    </w:p>
    <w:p w14:paraId="43A318A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5.2开标程序：</w:t>
      </w:r>
    </w:p>
    <w:p w14:paraId="0362470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5.2.1开标由招标代理机构主持；</w:t>
      </w:r>
    </w:p>
    <w:p w14:paraId="7FA2FAE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5.2.2宣布开标会议纪律；</w:t>
      </w:r>
    </w:p>
    <w:p w14:paraId="3373985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5.2.3公布在投标截止时间前递交投标文件的投标供应商名称；</w:t>
      </w:r>
    </w:p>
    <w:p w14:paraId="63B9220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5.2.4开标时，电子招标投标交易平台自动提取所有投标文件，按时在线解密。解密全部完成后，向所有投标供应商公布投标供应商名称、投标价格和招标文件规定的其他内容。</w:t>
      </w:r>
    </w:p>
    <w:p w14:paraId="717B632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5.2.5</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在招标文件要求提交投标文件的截止时间前收到的投标文件，开标时都应当众予以解密、宣读。</w:t>
      </w:r>
    </w:p>
    <w:p w14:paraId="3750D22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5.3</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对开标过程进行记录，并存档备查。</w:t>
      </w:r>
    </w:p>
    <w:p w14:paraId="3DB18E9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5.4投标文件的有效性</w:t>
      </w:r>
    </w:p>
    <w:p w14:paraId="69023D3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5.4.1投标文件有下列情形之一的为无效投标文件，</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不予受理：</w:t>
      </w:r>
    </w:p>
    <w:p w14:paraId="1D4DBD5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1)逾期上传的；</w:t>
      </w:r>
    </w:p>
    <w:p w14:paraId="0447B35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2E13A05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5.4.2若投标文件解密后，有效电子投标文件不足三家的，本项目应予废标。</w:t>
      </w:r>
    </w:p>
    <w:p w14:paraId="1778BD6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5.4.3</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将有效投标文件，送评标委员会进行评审、比较。</w:t>
      </w:r>
    </w:p>
    <w:p w14:paraId="0CE7409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 评标（本项目为电子评标）</w:t>
      </w:r>
    </w:p>
    <w:p w14:paraId="4C3A425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54" w:name="_bookmark56"/>
      <w:bookmarkEnd w:id="54"/>
      <w:r>
        <w:rPr>
          <w:rFonts w:hint="eastAsia" w:ascii="宋体" w:hAnsi="宋体" w:eastAsia="宋体" w:cs="宋体"/>
          <w:color w:val="auto"/>
          <w:kern w:val="0"/>
          <w:sz w:val="24"/>
        </w:rPr>
        <w:t>6.1 评标委员会</w:t>
      </w:r>
    </w:p>
    <w:p w14:paraId="638BDCB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6.1.1 评标由</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依法组建的评标委员会负责。评标委员会由</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熟悉相关业务的代表，以及有关技术、经济等方面的专家组成。评标委员会成员人数以及技术、经济等方面专家的确定方式见供应商须知前附表。</w:t>
      </w:r>
    </w:p>
    <w:p w14:paraId="6632016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6.1.2 评标委员会成员有下列情形之一的，应当回避：</w:t>
      </w:r>
    </w:p>
    <w:p w14:paraId="4A0B175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或供应商的主要负责人的近亲属；</w:t>
      </w:r>
    </w:p>
    <w:p w14:paraId="714E7CB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（2）项目主管部门或者行政监督部门的人员；</w:t>
      </w:r>
    </w:p>
    <w:p w14:paraId="387599A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（3）与供应商有经济利益关系，可能影响对投标公正评审的；</w:t>
      </w:r>
    </w:p>
    <w:p w14:paraId="03A77AB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（4）曾因在招标、评标以及其他与招标投标有关活动中从事违法行为而受过行政处罚或刑事处罚的。</w:t>
      </w:r>
    </w:p>
    <w:p w14:paraId="4D23F29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（5）与供应商有其他利害关系。</w:t>
      </w:r>
    </w:p>
    <w:p w14:paraId="5CABA2D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6.1.3 评标过程中，评标委员会成员有回避事由、擅离职守或者因健康等原因不能继续评标 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有权更换。被更换的评标委员会成员作出的评审结论无效，由更换后的评标委员会 成员重新进行评审。</w:t>
      </w:r>
    </w:p>
    <w:p w14:paraId="01ED2AB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55" w:name="_bookmark57"/>
      <w:bookmarkEnd w:id="55"/>
      <w:r>
        <w:rPr>
          <w:rFonts w:hint="eastAsia" w:ascii="宋体" w:hAnsi="宋体" w:eastAsia="宋体" w:cs="宋体"/>
          <w:color w:val="auto"/>
          <w:kern w:val="0"/>
          <w:sz w:val="24"/>
        </w:rPr>
        <w:t>6.2 评标原则</w:t>
      </w:r>
    </w:p>
    <w:p w14:paraId="501A354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评标活动遵循公平、公正、科学和择优的原则，严格按照法律法规和招标文件规定的评标方法和评分标准评审。</w:t>
      </w:r>
    </w:p>
    <w:p w14:paraId="5B9BA44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6.3投标文件的资格评审</w:t>
      </w:r>
    </w:p>
    <w:p w14:paraId="12F2A7B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开标后，经</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或采购代理机构查验对投标人上传投标文件进行资格审查，符合资格审查要求有关规定的有效的投标人，其投标文件才能由评标委员会进行评审。</w:t>
      </w:r>
    </w:p>
    <w:p w14:paraId="7DAAFE8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6.4评标</w:t>
      </w:r>
    </w:p>
    <w:p w14:paraId="35F889E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评标委员会按照第三章“评标办法”规定的方法、评审因素、标准和程序对供应商资格及投标文件进行评审。第三章“评标办法”没有规定的方法、评审因素和标准，不作为评标依据。</w:t>
      </w:r>
    </w:p>
    <w:p w14:paraId="2A1A2DA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  合同授予</w:t>
      </w:r>
      <w:bookmarkStart w:id="56" w:name="_bookmark60"/>
      <w:bookmarkEnd w:id="56"/>
    </w:p>
    <w:p w14:paraId="2EB479A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7.1 定标、中标公告、中标通知书发出</w:t>
      </w:r>
    </w:p>
    <w:p w14:paraId="50ADCD8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7.1.1</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和其委托的采购代理机构，在评标结束当日完成评标报告报送、中标供应商确定、中标公告发布、中标通知书发出。</w:t>
      </w:r>
    </w:p>
    <w:p w14:paraId="4A3C371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7.1.2确定排名第一的中标候选人为中标供应商。当确定中标的中标候选人放弃中标或因不可抗力提出不能履行合同的，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可以按序确定排名第二的中标候选人为中标供应商，以此类推。</w:t>
      </w:r>
    </w:p>
    <w:p w14:paraId="7778E10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7.1.3按照供应商须知前附表的规定，</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或</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授权的评标委员会依法确定中标人。</w:t>
      </w:r>
    </w:p>
    <w:p w14:paraId="5E704D6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7.1.4</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不承诺将合同授予报价最低的或最高的中标候选人。</w:t>
      </w:r>
    </w:p>
    <w:p w14:paraId="71B2162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7.2</w:t>
      </w:r>
      <w:bookmarkStart w:id="57" w:name="_bookmark62"/>
      <w:bookmarkEnd w:id="57"/>
      <w:r>
        <w:rPr>
          <w:rFonts w:hint="eastAsia" w:ascii="宋体" w:hAnsi="宋体" w:eastAsia="宋体" w:cs="宋体"/>
          <w:color w:val="auto"/>
          <w:kern w:val="0"/>
          <w:sz w:val="24"/>
        </w:rPr>
        <w:t>、质疑和投诉</w:t>
      </w:r>
    </w:p>
    <w:p w14:paraId="3F6466F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7.2.1供应商认为本次招标活动的招标文件、采购过程和中标结果使自己的权益受到损害的，有权按规定的程序在知道或应知其权益受到损害之日起7个工作日内实名向</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、采购代理机构提出书面质疑；</w:t>
      </w:r>
    </w:p>
    <w:p w14:paraId="7BF9279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7.2.2对</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、采购代理机构的答复不满意或者</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、采购代理机构未在规定的时间内作出答复的，可以在答复期满后15个工作日内实名向（项目所属）同级政府采购监督管理部门投诉。</w:t>
      </w:r>
    </w:p>
    <w:p w14:paraId="172BEB1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7.2.3质疑和投诉应有具体的质疑（投诉）事项和必要的证明材料或事实根据，供应商对其质疑和投诉内容的真实性及其来源的合法性承担法律责任。</w:t>
      </w:r>
    </w:p>
    <w:p w14:paraId="6E613CD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7.3  中标候选人履约能力审查</w:t>
      </w:r>
    </w:p>
    <w:p w14:paraId="129D194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中标候选人的经营、财务状况发生较大变化或存在违法行为，</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认为可能影响其履约能力的，将在发出中标通知书前按照招标文件规定的标准和方法进行重新审查确认。</w:t>
      </w:r>
      <w:bookmarkStart w:id="58" w:name="_bookmark63"/>
      <w:bookmarkEnd w:id="58"/>
    </w:p>
    <w:p w14:paraId="581358D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59" w:name="_bookmark65"/>
      <w:bookmarkEnd w:id="59"/>
      <w:bookmarkStart w:id="60" w:name="_bookmark64"/>
      <w:bookmarkEnd w:id="60"/>
      <w:r>
        <w:rPr>
          <w:rFonts w:hint="eastAsia" w:ascii="宋体" w:hAnsi="宋体" w:eastAsia="宋体" w:cs="宋体"/>
          <w:color w:val="auto"/>
          <w:kern w:val="0"/>
          <w:sz w:val="24"/>
        </w:rPr>
        <w:t>7.4中标通知书</w:t>
      </w:r>
    </w:p>
    <w:p w14:paraId="7CB3B51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或者采购代理机构应当向中标人发出中标通知书，对未中标的供应商，不做任何未中标原因的解释。所有投标文件不予退还。</w:t>
      </w:r>
    </w:p>
    <w:p w14:paraId="3306347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7.5 履约保证金</w:t>
      </w:r>
    </w:p>
    <w:p w14:paraId="100BEF8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61" w:name="_bookmark66"/>
      <w:bookmarkEnd w:id="61"/>
      <w:r>
        <w:rPr>
          <w:rFonts w:hint="eastAsia" w:ascii="宋体" w:hAnsi="宋体" w:eastAsia="宋体" w:cs="宋体"/>
          <w:color w:val="auto"/>
          <w:kern w:val="0"/>
          <w:sz w:val="24"/>
        </w:rPr>
        <w:t>无</w:t>
      </w:r>
    </w:p>
    <w:p w14:paraId="20BC7A3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7.7 签订合同</w:t>
      </w:r>
    </w:p>
    <w:p w14:paraId="370D643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7.7.1 </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与中标供应商将于中标通知书发出之日起1个工作日内，按照招标文件及中标供应商的电子化投标文件订立书面采购合同，</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和中标供应商不得再行订立背离合同实质性内容的其他协议。</w:t>
      </w:r>
    </w:p>
    <w:p w14:paraId="6495835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应当在合同签订后2个工作日内在河南省政府采购网公示采购合同，并完成合同备案。</w:t>
      </w:r>
    </w:p>
    <w:p w14:paraId="45B0E45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7.7.2 发出中标通知书后，</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无正当理由拒签合同，或者在签订合同时向中标人提出附加条件的，给中标人造成损失的，还应当赔偿损失。</w:t>
      </w:r>
      <w:bookmarkStart w:id="62" w:name="_bookmark67"/>
      <w:bookmarkEnd w:id="62"/>
    </w:p>
    <w:p w14:paraId="2F2C4A6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8.纪律和监督</w:t>
      </w:r>
    </w:p>
    <w:p w14:paraId="59FA3FA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63" w:name="_bookmark68"/>
      <w:bookmarkEnd w:id="63"/>
      <w:r>
        <w:rPr>
          <w:rFonts w:hint="eastAsia" w:ascii="宋体" w:hAnsi="宋体" w:eastAsia="宋体" w:cs="宋体"/>
          <w:color w:val="auto"/>
          <w:kern w:val="0"/>
          <w:sz w:val="24"/>
        </w:rPr>
        <w:t>8.1对</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的纪律要求</w:t>
      </w:r>
    </w:p>
    <w:p w14:paraId="454B3B0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不得泄露招标投标活动中应当保密的情况和资料，不得与供应商串通损害国家利益、社会公共利益或者他人合法权益。</w:t>
      </w:r>
      <w:bookmarkStart w:id="64" w:name="_bookmark69"/>
      <w:bookmarkEnd w:id="64"/>
    </w:p>
    <w:p w14:paraId="1498355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 8.2 对供应商的纪律要求</w:t>
      </w:r>
    </w:p>
    <w:p w14:paraId="4075FA8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（1）供应商不得相互串通投标或者与</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串通投标，</w:t>
      </w:r>
    </w:p>
    <w:p w14:paraId="53FE6ED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（2）不得向</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或者评标委员会成员行贿谋取中标，</w:t>
      </w:r>
    </w:p>
    <w:p w14:paraId="59042A8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（3）不得以他人名义投标或者以其他方式弄虚作假骗取中标，</w:t>
      </w:r>
    </w:p>
    <w:p w14:paraId="1A32CB1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（4）不得恶意低价抢标；</w:t>
      </w:r>
    </w:p>
    <w:p w14:paraId="468FE6A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（5）供应商不得以任何方式干扰、影响评标工作。</w:t>
      </w:r>
    </w:p>
    <w:p w14:paraId="1B87A41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（6）不得向</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提出不合理的要求作为签订合同的条件；</w:t>
      </w:r>
    </w:p>
    <w:p w14:paraId="75BE112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（7）不得无正当理由放弃中标或中标后拒绝与</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签订合同；</w:t>
      </w:r>
    </w:p>
    <w:p w14:paraId="15F6440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（8）不得恶意诋毁其他供应商、</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或采购代理机构；</w:t>
      </w:r>
    </w:p>
    <w:p w14:paraId="3B7AF18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（9）在参与政府采购活动中，不得有其他违法违规行为。 </w:t>
      </w:r>
    </w:p>
    <w:p w14:paraId="6BD3DC25">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8.3对评标委员会成员的纪律要求</w:t>
      </w:r>
    </w:p>
    <w:p w14:paraId="4CA19A2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3AEE995">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（1）确定参与评标至评标结束前，不得私自接触供应商；</w:t>
      </w:r>
    </w:p>
    <w:p w14:paraId="77EADB8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（2）不得接受供应商提出的与投标文件不一致的澄清和说明；</w:t>
      </w:r>
    </w:p>
    <w:p w14:paraId="6C0EB43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（3）不得征询</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的倾向性意见；</w:t>
      </w:r>
    </w:p>
    <w:p w14:paraId="1A2225B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（7）不得对主观评审因素协商评分；</w:t>
      </w:r>
    </w:p>
    <w:p w14:paraId="0215A9A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（8）不得对客观评审因素评分不一致；</w:t>
      </w:r>
    </w:p>
    <w:p w14:paraId="62C190F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（6）评标委员会成员不得接受供应商、</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和采购代理机构等他人的贿赂或者其他不正当利益；</w:t>
      </w:r>
    </w:p>
    <w:p w14:paraId="23A8B8A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（7）不得以不合理的条件对供应商实行差别待遇或者歧视待遇，排斥其他供应商公平参与竞争；</w:t>
      </w:r>
    </w:p>
    <w:p w14:paraId="6A3AFA3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（8）不得诱导、干预或影响其他评标专家依法依规独立评标；</w:t>
      </w:r>
    </w:p>
    <w:p w14:paraId="6C0F6D8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（9）在评标活动中，评标委员会成员不得擅离职守，影响评标工作正常进行；</w:t>
      </w:r>
    </w:p>
    <w:p w14:paraId="636EFFC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（10）不得记录、复制或带走任何评标资料；</w:t>
      </w:r>
    </w:p>
    <w:p w14:paraId="4DEE99D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（11）不得泄露评标过程中获悉的对投标文件的评审和比较、中标候选人的推荐情况以及与评标有关的应当保密的情况和资料；</w:t>
      </w:r>
    </w:p>
    <w:p w14:paraId="6578E5E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（12）评标委员会成员与供应商存在利害关系应当回避；</w:t>
      </w:r>
    </w:p>
    <w:p w14:paraId="19EE934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（13）在参与政府采购评标活动中，不得有其他违法违规行为。 </w:t>
      </w:r>
      <w:bookmarkStart w:id="65" w:name="_bookmark71"/>
      <w:bookmarkEnd w:id="65"/>
    </w:p>
    <w:p w14:paraId="2210D9C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8.4 对与评标活动有关的工作人员的纪律要求</w:t>
      </w:r>
    </w:p>
    <w:p w14:paraId="14EF072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与供应商有利害关系的应当回避,在参与或服务政府采购活动中，不得有其他违法违规行为。</w:t>
      </w:r>
      <w:bookmarkStart w:id="66" w:name="_bookmark72"/>
      <w:bookmarkEnd w:id="66"/>
    </w:p>
    <w:p w14:paraId="20942DB5">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67" w:name="_bookmark73"/>
      <w:bookmarkEnd w:id="67"/>
      <w:bookmarkStart w:id="68" w:name="_bookmark74"/>
      <w:bookmarkEnd w:id="68"/>
      <w:r>
        <w:rPr>
          <w:rFonts w:hint="eastAsia" w:ascii="宋体" w:hAnsi="宋体" w:eastAsia="宋体" w:cs="宋体"/>
          <w:color w:val="auto"/>
          <w:kern w:val="0"/>
          <w:sz w:val="24"/>
        </w:rPr>
        <w:t>9.重新采购和改变采购方式</w:t>
      </w:r>
    </w:p>
    <w:p w14:paraId="787CC8E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9.1重新采购</w:t>
      </w:r>
    </w:p>
    <w:p w14:paraId="2B8AEE3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有下列情形之一的，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将重新采购：</w:t>
      </w:r>
    </w:p>
    <w:p w14:paraId="6636419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69" w:name="bookmark109"/>
      <w:r>
        <w:rPr>
          <w:rFonts w:hint="eastAsia" w:ascii="宋体" w:hAnsi="宋体" w:eastAsia="宋体" w:cs="宋体"/>
          <w:color w:val="auto"/>
          <w:kern w:val="0"/>
          <w:sz w:val="24"/>
        </w:rPr>
        <w:t>（</w:t>
      </w:r>
      <w:bookmarkEnd w:id="69"/>
      <w:r>
        <w:rPr>
          <w:rFonts w:hint="eastAsia" w:ascii="宋体" w:hAnsi="宋体" w:eastAsia="宋体" w:cs="宋体"/>
          <w:color w:val="auto"/>
          <w:kern w:val="0"/>
          <w:sz w:val="24"/>
        </w:rPr>
        <w:t>1）投标截止时间止，供应商少于3家的；</w:t>
      </w:r>
    </w:p>
    <w:p w14:paraId="12F2AEF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70" w:name="bookmark110"/>
      <w:r>
        <w:rPr>
          <w:rFonts w:hint="eastAsia" w:ascii="宋体" w:hAnsi="宋体" w:eastAsia="宋体" w:cs="宋体"/>
          <w:color w:val="auto"/>
          <w:kern w:val="0"/>
          <w:sz w:val="24"/>
        </w:rPr>
        <w:t>（</w:t>
      </w:r>
      <w:bookmarkEnd w:id="70"/>
      <w:r>
        <w:rPr>
          <w:rFonts w:hint="eastAsia" w:ascii="宋体" w:hAnsi="宋体" w:eastAsia="宋体" w:cs="宋体"/>
          <w:color w:val="auto"/>
          <w:kern w:val="0"/>
          <w:sz w:val="24"/>
        </w:rPr>
        <w:t>2）经评标委员会评审后否决所有投标的。</w:t>
      </w:r>
    </w:p>
    <w:p w14:paraId="0BF12C2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bookmarkStart w:id="71" w:name="bookmark111"/>
      <w:r>
        <w:rPr>
          <w:rFonts w:hint="eastAsia" w:ascii="宋体" w:hAnsi="宋体" w:eastAsia="宋体" w:cs="宋体"/>
          <w:color w:val="auto"/>
          <w:kern w:val="0"/>
          <w:sz w:val="24"/>
        </w:rPr>
        <w:t>（</w:t>
      </w:r>
      <w:bookmarkEnd w:id="71"/>
      <w:r>
        <w:rPr>
          <w:rFonts w:hint="eastAsia" w:ascii="宋体" w:hAnsi="宋体" w:eastAsia="宋体" w:cs="宋体"/>
          <w:color w:val="auto"/>
          <w:kern w:val="0"/>
          <w:sz w:val="24"/>
        </w:rPr>
        <w:t>3）在评标环节对招标文件实质性响应合格的供应商不足3家，导致项目流标的。</w:t>
      </w:r>
    </w:p>
    <w:p w14:paraId="0844F2B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9.2改变釆购方式</w:t>
      </w:r>
    </w:p>
    <w:p w14:paraId="6F03776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重新采购后供应商仍少于3家或者所有投标被否决的，属于必须审批或核准的采购项目，经原审批或核准部门批准后改变釆购方式。</w:t>
      </w:r>
    </w:p>
    <w:p w14:paraId="2FBCBD0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10.解释权</w:t>
      </w:r>
    </w:p>
    <w:p w14:paraId="49CDA9D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10.1.见供应商须知前附表。</w:t>
      </w:r>
    </w:p>
    <w:p w14:paraId="2DF5620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 需要补充的其他内容</w:t>
      </w:r>
    </w:p>
    <w:p w14:paraId="39CAFA9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11.1 评标过程的保密</w:t>
      </w:r>
    </w:p>
    <w:p w14:paraId="3C96C98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11.1.1开标后，直至授予中标人合同为止，凡属于对投标文件的审查、澄清、评价和比较有关的资料，中标候选人的推荐情况，及其他任何与评标有关的情况均应严格保密。</w:t>
      </w:r>
    </w:p>
    <w:p w14:paraId="3BDF301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11.1.2在投标文件的评审和比较、中标候选人推荐以及授予合同的过程中，供应商向</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和评标委员会施加影响的任何行为，都将会导致其投标被拒绝。</w:t>
      </w:r>
    </w:p>
    <w:p w14:paraId="75E4FF0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11.1.3中标人确定后，</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不对未中标单位就评标过程以及未能中标原因作出任何解释。未中标人不得向评标委员会组成人员或其他有关人员索问评标过程的情况和材料。</w:t>
      </w:r>
    </w:p>
    <w:p w14:paraId="101FF8F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11.2 未尽事宜按国家有关规定执行。</w:t>
      </w:r>
    </w:p>
    <w:p w14:paraId="46A14985">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11.3 本招标文件最终解释权归</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w:t>
      </w:r>
    </w:p>
    <w:p w14:paraId="728CFB5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11.4 需要补充的其他内容：见供应商须知前附表。</w:t>
      </w:r>
    </w:p>
    <w:p w14:paraId="0A7A31E2">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465"/>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12.招标代理服务收费参照豫招协[2023]002号河南省招标投标协会关于印发《河南省招标代理服务收费指导意见》规定的收费标准的收取中标服务费。</w:t>
      </w:r>
    </w:p>
    <w:p w14:paraId="00C42BBD">
      <w:pPr>
        <w:pStyle w:val="33"/>
        <w:widowControl w:val="0"/>
        <w:numPr>
          <w:ilvl w:val="0"/>
          <w:numId w:val="0"/>
        </w:numPr>
        <w:tabs>
          <w:tab w:val="left" w:pos="1341"/>
        </w:tabs>
        <w:autoSpaceDE w:val="0"/>
        <w:autoSpaceDN w:val="0"/>
        <w:spacing w:line="240" w:lineRule="auto"/>
        <w:ind w:left="0" w:leftChars="0" w:right="0" w:rightChars="0"/>
        <w:jc w:val="both"/>
        <w:rPr>
          <w:rFonts w:hint="default" w:ascii="宋体" w:hAnsi="宋体" w:eastAsia="宋体" w:cs="宋体"/>
          <w:b/>
          <w:bCs/>
          <w:color w:val="auto"/>
          <w:spacing w:val="-1"/>
          <w:sz w:val="24"/>
          <w:highlight w:val="none"/>
          <w:lang w:val="en-US" w:eastAsia="zh-CN"/>
        </w:rPr>
      </w:pPr>
    </w:p>
    <w:p w14:paraId="7E002EC1">
      <w:pPr>
        <w:pStyle w:val="33"/>
        <w:widowControl w:val="0"/>
        <w:numPr>
          <w:ilvl w:val="0"/>
          <w:numId w:val="0"/>
        </w:numPr>
        <w:tabs>
          <w:tab w:val="left" w:pos="1341"/>
        </w:tabs>
        <w:autoSpaceDE w:val="0"/>
        <w:autoSpaceDN w:val="0"/>
        <w:spacing w:line="240" w:lineRule="auto"/>
        <w:ind w:right="0" w:rightChars="0" w:firstLine="717" w:firstLineChars="300"/>
        <w:jc w:val="both"/>
        <w:outlineLvl w:val="0"/>
        <w:rPr>
          <w:rFonts w:hint="default" w:ascii="宋体" w:hAnsi="宋体" w:eastAsia="宋体" w:cs="宋体"/>
          <w:b/>
          <w:bCs/>
          <w:color w:val="auto"/>
          <w:spacing w:val="-1"/>
          <w:sz w:val="24"/>
          <w:highlight w:val="none"/>
          <w:lang w:val="en-US" w:eastAsia="zh-CN"/>
        </w:rPr>
      </w:pPr>
      <w:bookmarkStart w:id="72" w:name="_Toc4061"/>
      <w:r>
        <w:rPr>
          <w:rFonts w:hint="eastAsia" w:ascii="宋体" w:hAnsi="宋体" w:eastAsia="宋体" w:cs="宋体"/>
          <w:b/>
          <w:bCs/>
          <w:color w:val="auto"/>
          <w:spacing w:val="-1"/>
          <w:sz w:val="24"/>
          <w:highlight w:val="none"/>
          <w:lang w:val="en-US" w:eastAsia="zh-CN"/>
        </w:rPr>
        <w:t>河南省招标代理服务费计算标准</w:t>
      </w:r>
      <w:bookmarkEnd w:id="72"/>
    </w:p>
    <w:tbl>
      <w:tblPr>
        <w:tblStyle w:val="17"/>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0CC7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4"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54E814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BE48A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010447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165446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25A8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4"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18DF92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D1614D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E2ED04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33480D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50A3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4"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977120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576B50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692489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94836D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71F9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3E8740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3E703B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763BE0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5E58A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2E9E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4" w:hRule="atLeast"/>
        </w:trPr>
        <w:tc>
          <w:tcPr>
            <w:tcW w:w="3994" w:type="dxa"/>
            <w:tcBorders>
              <w:top w:val="single" w:color="000000" w:sz="4" w:space="0"/>
              <w:left w:val="single" w:color="000000" w:sz="4" w:space="0"/>
              <w:bottom w:val="single" w:color="auto" w:sz="4" w:space="0"/>
              <w:right w:val="single" w:color="000000" w:sz="4" w:space="0"/>
            </w:tcBorders>
            <w:noWrap w:val="0"/>
            <w:vAlign w:val="center"/>
          </w:tcPr>
          <w:p w14:paraId="1C30185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auto" w:sz="4" w:space="0"/>
              <w:right w:val="single" w:color="000000" w:sz="4" w:space="0"/>
            </w:tcBorders>
            <w:noWrap w:val="0"/>
            <w:vAlign w:val="center"/>
          </w:tcPr>
          <w:p w14:paraId="64FD752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auto" w:sz="4" w:space="0"/>
              <w:right w:val="single" w:color="000000" w:sz="4" w:space="0"/>
            </w:tcBorders>
            <w:noWrap w:val="0"/>
            <w:vAlign w:val="center"/>
          </w:tcPr>
          <w:p w14:paraId="55182AD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auto" w:sz="4" w:space="0"/>
              <w:right w:val="single" w:color="000000" w:sz="4" w:space="0"/>
            </w:tcBorders>
            <w:noWrap w:val="0"/>
            <w:vAlign w:val="center"/>
          </w:tcPr>
          <w:p w14:paraId="09FE2D4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00B1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9" w:hRule="atLeast"/>
        </w:trPr>
        <w:tc>
          <w:tcPr>
            <w:tcW w:w="3994" w:type="dxa"/>
            <w:tcBorders>
              <w:top w:val="single" w:color="auto" w:sz="4" w:space="0"/>
              <w:left w:val="single" w:color="auto" w:sz="4" w:space="0"/>
              <w:bottom w:val="single" w:color="auto" w:sz="4" w:space="0"/>
              <w:right w:val="single" w:color="auto" w:sz="4" w:space="0"/>
            </w:tcBorders>
            <w:noWrap w:val="0"/>
            <w:vAlign w:val="center"/>
          </w:tcPr>
          <w:p w14:paraId="4C14B56E">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923FF6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2C9BBC8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5F66E3A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04AD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4" w:hRule="atLeast"/>
        </w:trPr>
        <w:tc>
          <w:tcPr>
            <w:tcW w:w="3994" w:type="dxa"/>
            <w:tcBorders>
              <w:top w:val="single" w:color="auto" w:sz="4" w:space="0"/>
              <w:left w:val="single" w:color="auto" w:sz="4" w:space="0"/>
              <w:bottom w:val="single" w:color="auto" w:sz="4" w:space="0"/>
              <w:right w:val="single" w:color="auto" w:sz="4" w:space="0"/>
            </w:tcBorders>
            <w:noWrap w:val="0"/>
            <w:vAlign w:val="center"/>
          </w:tcPr>
          <w:p w14:paraId="445B5886">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630308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1968775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3DC6650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6F43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4" w:hRule="atLeast"/>
        </w:trPr>
        <w:tc>
          <w:tcPr>
            <w:tcW w:w="3994" w:type="dxa"/>
            <w:tcBorders>
              <w:top w:val="single" w:color="auto" w:sz="4" w:space="0"/>
              <w:left w:val="single" w:color="auto" w:sz="4" w:space="0"/>
              <w:bottom w:val="single" w:color="auto" w:sz="4" w:space="0"/>
              <w:right w:val="single" w:color="auto" w:sz="4" w:space="0"/>
            </w:tcBorders>
            <w:noWrap w:val="0"/>
            <w:vAlign w:val="center"/>
          </w:tcPr>
          <w:p w14:paraId="648C20F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94D2A7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6A4710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1B0E05F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3048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9" w:hRule="atLeast"/>
        </w:trPr>
        <w:tc>
          <w:tcPr>
            <w:tcW w:w="3994" w:type="dxa"/>
            <w:tcBorders>
              <w:top w:val="single" w:color="auto" w:sz="4" w:space="0"/>
              <w:left w:val="single" w:color="000000" w:sz="4" w:space="0"/>
              <w:bottom w:val="single" w:color="000000" w:sz="4" w:space="0"/>
              <w:right w:val="single" w:color="000000" w:sz="4" w:space="0"/>
            </w:tcBorders>
            <w:noWrap w:val="0"/>
            <w:vAlign w:val="center"/>
          </w:tcPr>
          <w:p w14:paraId="25A4A334">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auto" w:sz="4" w:space="0"/>
              <w:left w:val="single" w:color="000000" w:sz="4" w:space="0"/>
              <w:bottom w:val="single" w:color="000000" w:sz="4" w:space="0"/>
              <w:right w:val="single" w:color="000000" w:sz="4" w:space="0"/>
            </w:tcBorders>
            <w:noWrap w:val="0"/>
            <w:vAlign w:val="center"/>
          </w:tcPr>
          <w:p w14:paraId="23EFE49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auto" w:sz="4" w:space="0"/>
              <w:left w:val="single" w:color="000000" w:sz="4" w:space="0"/>
              <w:bottom w:val="single" w:color="000000" w:sz="4" w:space="0"/>
              <w:right w:val="single" w:color="000000" w:sz="4" w:space="0"/>
            </w:tcBorders>
            <w:noWrap w:val="0"/>
            <w:vAlign w:val="center"/>
          </w:tcPr>
          <w:p w14:paraId="10E9938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auto" w:sz="4" w:space="0"/>
              <w:left w:val="single" w:color="000000" w:sz="4" w:space="0"/>
              <w:bottom w:val="single" w:color="000000" w:sz="4" w:space="0"/>
              <w:right w:val="single" w:color="000000" w:sz="4" w:space="0"/>
            </w:tcBorders>
            <w:noWrap w:val="0"/>
            <w:vAlign w:val="center"/>
          </w:tcPr>
          <w:p w14:paraId="059E7C7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072A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348AE5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FCF029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214CA8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788449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6B04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27A1E5C">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99DEA8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B6B4EA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900FDE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258A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D2103C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2435B28A">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513ECEE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 万元，招标代理服务收费计算如下:</w:t>
            </w:r>
          </w:p>
          <w:p w14:paraId="1D186D9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66CA086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5B4832F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24472F8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7F42923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（10000-5000）×0.25%=12.5万元</w:t>
            </w:r>
          </w:p>
          <w:p w14:paraId="23DC9C9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合计收费=1.2+4+3.5+16+12.5=37.2万元</w:t>
            </w:r>
          </w:p>
        </w:tc>
      </w:tr>
    </w:tbl>
    <w:p w14:paraId="3B9C558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465"/>
        <w:jc w:val="both"/>
        <w:textAlignment w:val="auto"/>
        <w:rPr>
          <w:rFonts w:hint="default" w:ascii="宋体" w:hAnsi="宋体" w:eastAsia="宋体" w:cs="宋体"/>
          <w:color w:val="auto"/>
          <w:sz w:val="24"/>
          <w:szCs w:val="24"/>
          <w:lang w:val="en-US" w:eastAsia="zh-CN"/>
        </w:rPr>
      </w:pPr>
    </w:p>
    <w:p w14:paraId="14C69247">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156" w:afterAutospacing="0" w:line="360" w:lineRule="auto"/>
        <w:jc w:val="center"/>
        <w:rPr>
          <w:rFonts w:hint="default" w:ascii="Calibri" w:hAnsi="Calibri" w:cs="Calibri"/>
          <w:color w:val="auto"/>
          <w:sz w:val="28"/>
          <w:szCs w:val="28"/>
        </w:rPr>
        <w:sectPr>
          <w:footerReference r:id="rId3" w:type="default"/>
          <w:pgSz w:w="11906" w:h="16838"/>
          <w:pgMar w:top="1440" w:right="1800" w:bottom="1440" w:left="1800" w:header="0" w:footer="506" w:gutter="0"/>
          <w:pgNumType w:fmt="decimal" w:start="1"/>
          <w:cols w:space="720" w:num="1"/>
        </w:sectPr>
      </w:pPr>
    </w:p>
    <w:p w14:paraId="677774E7">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5C4A21F8">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rPr>
      </w:pPr>
      <w:bookmarkStart w:id="73" w:name="_Toc7567"/>
      <w:bookmarkStart w:id="74" w:name="_Toc19399"/>
    </w:p>
    <w:p w14:paraId="5D0651D0">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73"/>
      <w:bookmarkEnd w:id="74"/>
    </w:p>
    <w:p w14:paraId="6D5CBD30">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46F21DC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w:t>
      </w:r>
    </w:p>
    <w:p w14:paraId="75157F6B">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欢迎贵公司参与河南省政府采购活动！</w:t>
      </w:r>
    </w:p>
    <w:p w14:paraId="46E03640">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政府采购合同融资是河南省财政厅支持中小微企业发展，针对参与政府采购活动的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BCB7080">
      <w:pPr>
        <w:pStyle w:val="43"/>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sz w:val="24"/>
          <w:szCs w:val="24"/>
        </w:rPr>
      </w:pPr>
      <w:bookmarkStart w:id="75" w:name="_Toc15196"/>
      <w:r>
        <w:rPr>
          <w:rFonts w:hint="eastAsia" w:ascii="宋体" w:hAnsi="宋体" w:eastAsia="宋体" w:cs="宋体"/>
          <w:b w:val="0"/>
          <w:bCs w:val="0"/>
          <w:color w:val="auto"/>
          <w:sz w:val="24"/>
          <w:szCs w:val="24"/>
          <w:highlight w:val="none"/>
        </w:rPr>
        <w:t>贷款渠道和提供贷款的金融机构，可在河南省政府采购网“河南省政府采购合同融资平台”查询联系。</w:t>
      </w:r>
      <w:bookmarkEnd w:id="75"/>
    </w:p>
    <w:p w14:paraId="186F9386">
      <w:pPr>
        <w:rPr>
          <w:rFonts w:ascii="宋体" w:hAnsi="宋体" w:cs="宋体"/>
          <w:sz w:val="24"/>
          <w:szCs w:val="24"/>
        </w:rPr>
      </w:pPr>
    </w:p>
    <w:p w14:paraId="0E58877B">
      <w:pPr>
        <w:widowControl w:val="0"/>
        <w:jc w:val="both"/>
        <w:textAlignment w:val="auto"/>
        <w:rPr>
          <w:rFonts w:hint="eastAsia" w:ascii="宋体" w:hAnsi="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rPr>
        <w:br w:type="page"/>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2：卢氏县政府采购合同融资政策告知书</w:t>
      </w:r>
    </w:p>
    <w:p w14:paraId="209A925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0F15BFEA">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卢氏县政府采购合同融资政策告知书</w:t>
      </w:r>
    </w:p>
    <w:p w14:paraId="1FE86EA0">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68FDD2D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各供应商:</w:t>
      </w:r>
    </w:p>
    <w:p w14:paraId="6994AF87">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7B78A6DF">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786ADD88">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联系电话:0398-7863556</w:t>
      </w:r>
    </w:p>
    <w:p w14:paraId="329230F8">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承接银行联系方式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4"/>
        <w:gridCol w:w="2804"/>
        <w:gridCol w:w="2914"/>
      </w:tblGrid>
      <w:tr w14:paraId="37E2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460EA29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tc>
        <w:tc>
          <w:tcPr>
            <w:tcW w:w="3065" w:type="dxa"/>
            <w:noWrap w:val="0"/>
            <w:vAlign w:val="center"/>
          </w:tcPr>
          <w:p w14:paraId="377C99A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3066" w:type="dxa"/>
            <w:noWrap w:val="0"/>
            <w:vAlign w:val="center"/>
          </w:tcPr>
          <w:p w14:paraId="0C3A0AAA">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p>
        </w:tc>
      </w:tr>
      <w:tr w14:paraId="4794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58ED3D7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中国建设银行股份有限公司卢氏支行</w:t>
            </w:r>
          </w:p>
        </w:tc>
        <w:tc>
          <w:tcPr>
            <w:tcW w:w="3065" w:type="dxa"/>
            <w:noWrap w:val="0"/>
            <w:vAlign w:val="center"/>
          </w:tcPr>
          <w:p w14:paraId="41C03015">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张江涛</w:t>
            </w:r>
          </w:p>
        </w:tc>
        <w:tc>
          <w:tcPr>
            <w:tcW w:w="3066" w:type="dxa"/>
            <w:noWrap w:val="0"/>
            <w:vAlign w:val="center"/>
          </w:tcPr>
          <w:p w14:paraId="275BC939">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18739850204</w:t>
            </w:r>
          </w:p>
        </w:tc>
      </w:tr>
      <w:tr w14:paraId="4964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53AC550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中国农业银行股份有限公司卢氏县支行</w:t>
            </w:r>
          </w:p>
        </w:tc>
        <w:tc>
          <w:tcPr>
            <w:tcW w:w="3065" w:type="dxa"/>
            <w:noWrap w:val="0"/>
            <w:vAlign w:val="center"/>
          </w:tcPr>
          <w:p w14:paraId="5F94474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代仁旺</w:t>
            </w:r>
          </w:p>
        </w:tc>
        <w:tc>
          <w:tcPr>
            <w:tcW w:w="3066" w:type="dxa"/>
            <w:noWrap w:val="0"/>
            <w:vAlign w:val="center"/>
          </w:tcPr>
          <w:p w14:paraId="343B226B">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18939062604</w:t>
            </w:r>
          </w:p>
        </w:tc>
      </w:tr>
      <w:tr w14:paraId="672E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19CF9BA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中原银行股份有限公司</w:t>
            </w:r>
          </w:p>
          <w:p w14:paraId="689F79DB">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卢氏支行</w:t>
            </w:r>
          </w:p>
        </w:tc>
        <w:tc>
          <w:tcPr>
            <w:tcW w:w="3065" w:type="dxa"/>
            <w:noWrap w:val="0"/>
            <w:vAlign w:val="center"/>
          </w:tcPr>
          <w:p w14:paraId="1D671A95">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李 博</w:t>
            </w:r>
          </w:p>
        </w:tc>
        <w:tc>
          <w:tcPr>
            <w:tcW w:w="3066" w:type="dxa"/>
            <w:noWrap w:val="0"/>
            <w:vAlign w:val="center"/>
          </w:tcPr>
          <w:p w14:paraId="1D09C7E9">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15839857887</w:t>
            </w:r>
          </w:p>
        </w:tc>
      </w:tr>
    </w:tbl>
    <w:p w14:paraId="555AC268">
      <w:pPr>
        <w:jc w:val="both"/>
        <w:rPr>
          <w:rFonts w:hint="eastAsia" w:ascii="宋体" w:hAnsi="宋体" w:cs="宋体"/>
          <w:b/>
          <w:bCs/>
          <w:color w:val="auto"/>
          <w:sz w:val="24"/>
          <w:szCs w:val="24"/>
          <w:highlight w:val="none"/>
          <w:lang w:eastAsia="zh-CN"/>
        </w:rPr>
      </w:pPr>
    </w:p>
    <w:p w14:paraId="4A30C76D">
      <w:pPr>
        <w:rPr>
          <w:rFonts w:hint="eastAsia" w:ascii="宋体" w:hAnsi="宋体" w:cs="宋体"/>
          <w:b/>
          <w:bCs/>
          <w:color w:val="auto"/>
          <w:sz w:val="24"/>
          <w:szCs w:val="24"/>
          <w:highlight w:val="none"/>
          <w:lang w:eastAsia="zh-CN"/>
        </w:rPr>
      </w:pPr>
    </w:p>
    <w:p w14:paraId="68A9644A">
      <w:pPr>
        <w:rPr>
          <w:rFonts w:hint="default" w:ascii="Calibri" w:hAnsi="Calibri" w:cs="Calibri"/>
          <w:color w:val="auto"/>
          <w:sz w:val="24"/>
          <w:szCs w:val="24"/>
        </w:rPr>
      </w:pPr>
      <w:r>
        <w:rPr>
          <w:rFonts w:hint="default" w:ascii="Calibri" w:hAnsi="Calibri" w:cs="Calibri"/>
          <w:color w:val="auto"/>
          <w:sz w:val="24"/>
          <w:szCs w:val="24"/>
        </w:rPr>
        <w:br w:type="page"/>
      </w:r>
    </w:p>
    <w:p w14:paraId="43812C6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6" w:beforeAutospacing="0" w:after="156" w:afterAutospacing="0" w:line="600" w:lineRule="exact"/>
        <w:jc w:val="center"/>
        <w:textAlignment w:val="auto"/>
        <w:outlineLvl w:val="0"/>
        <w:rPr>
          <w:rFonts w:hint="default" w:ascii="宋体" w:hAnsi="宋体" w:eastAsia="宋体" w:cs="宋体"/>
          <w:b/>
          <w:bCs/>
          <w:color w:val="auto"/>
          <w:sz w:val="32"/>
          <w:szCs w:val="32"/>
        </w:rPr>
      </w:pPr>
      <w:bookmarkStart w:id="76" w:name="_Toc15043"/>
      <w:r>
        <w:rPr>
          <w:rFonts w:hint="default" w:ascii="宋体" w:hAnsi="宋体" w:eastAsia="宋体" w:cs="宋体"/>
          <w:b/>
          <w:bCs/>
          <w:color w:val="auto"/>
          <w:sz w:val="32"/>
          <w:szCs w:val="32"/>
        </w:rPr>
        <w:t> </w:t>
      </w:r>
      <w:bookmarkStart w:id="77" w:name="_Toc9198"/>
      <w:r>
        <w:rPr>
          <w:rFonts w:hint="eastAsia" w:ascii="宋体" w:hAnsi="宋体" w:eastAsia="宋体" w:cs="宋体"/>
          <w:b/>
          <w:bCs/>
          <w:color w:val="auto"/>
          <w:sz w:val="32"/>
          <w:szCs w:val="32"/>
        </w:rPr>
        <w:t>第三章  采购</w:t>
      </w:r>
      <w:bookmarkEnd w:id="77"/>
      <w:r>
        <w:rPr>
          <w:rFonts w:hint="eastAsia" w:ascii="宋体" w:hAnsi="宋体" w:eastAsia="宋体" w:cs="宋体"/>
          <w:b/>
          <w:bCs/>
          <w:color w:val="auto"/>
          <w:sz w:val="32"/>
          <w:szCs w:val="32"/>
        </w:rPr>
        <w:t>需求</w:t>
      </w:r>
      <w:bookmarkEnd w:id="76"/>
    </w:p>
    <w:tbl>
      <w:tblPr>
        <w:tblStyle w:val="17"/>
        <w:tblW w:w="9750" w:type="dxa"/>
        <w:tblInd w:w="-5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3555"/>
        <w:gridCol w:w="1350"/>
        <w:gridCol w:w="1035"/>
        <w:gridCol w:w="1365"/>
        <w:gridCol w:w="1230"/>
      </w:tblGrid>
      <w:tr w14:paraId="1CE4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C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0E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3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1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E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F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r>
      <w:tr w14:paraId="27DE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7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棉被</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B5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2.0*2.3米，整张羽绒棉不低于6斤，被罩为水洗绒，重量不低于2斤，总重不低于8斤，相关参数符合国家要求。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8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6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3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B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1820000</w:t>
            </w:r>
          </w:p>
        </w:tc>
      </w:tr>
      <w:tr w14:paraId="2A34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A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CE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30天内生产的标准粉，等级不低于国家规定技术标准(GB1355-1986),无添加剂。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5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C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C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B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99000</w:t>
            </w:r>
          </w:p>
        </w:tc>
      </w:tr>
      <w:tr w14:paraId="75E8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6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F6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2024年新米，相关参数符合国家要求。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4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E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D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2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176000</w:t>
            </w:r>
          </w:p>
        </w:tc>
      </w:tr>
    </w:tbl>
    <w:p w14:paraId="376F4D73">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156" w:afterAutospacing="0" w:line="360" w:lineRule="auto"/>
        <w:jc w:val="both"/>
        <w:rPr>
          <w:rFonts w:hint="default" w:ascii="宋体" w:hAnsi="宋体" w:eastAsia="宋体" w:cs="宋体"/>
          <w:b/>
          <w:bCs/>
          <w:color w:val="auto"/>
          <w:sz w:val="32"/>
          <w:szCs w:val="32"/>
        </w:rPr>
        <w:sectPr>
          <w:pgSz w:w="11906" w:h="16838"/>
          <w:pgMar w:top="1440" w:right="1800" w:bottom="1440" w:left="1800" w:header="0" w:footer="506" w:gutter="0"/>
          <w:pgNumType w:fmt="decimal"/>
          <w:cols w:space="720" w:num="1"/>
        </w:sectPr>
      </w:pPr>
    </w:p>
    <w:p w14:paraId="0F26A1A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6" w:beforeAutospacing="0" w:after="156" w:afterAutospacing="0" w:line="600" w:lineRule="exact"/>
        <w:jc w:val="center"/>
        <w:textAlignment w:val="auto"/>
        <w:outlineLvl w:val="0"/>
        <w:rPr>
          <w:rFonts w:hint="default" w:ascii="宋体" w:hAnsi="宋体" w:eastAsia="宋体" w:cs="宋体"/>
          <w:b/>
          <w:bCs/>
          <w:color w:val="auto"/>
          <w:sz w:val="32"/>
          <w:szCs w:val="32"/>
        </w:rPr>
      </w:pPr>
      <w:bookmarkStart w:id="78" w:name="_Toc9123"/>
      <w:bookmarkStart w:id="79" w:name="_Toc21319"/>
      <w:r>
        <w:rPr>
          <w:rFonts w:hint="eastAsia" w:ascii="宋体" w:hAnsi="宋体" w:eastAsia="宋体" w:cs="宋体"/>
          <w:b/>
          <w:bCs/>
          <w:color w:val="auto"/>
          <w:sz w:val="32"/>
          <w:szCs w:val="32"/>
        </w:rPr>
        <w:t>第四章  评标办法</w:t>
      </w:r>
      <w:bookmarkEnd w:id="78"/>
      <w:bookmarkEnd w:id="79"/>
    </w:p>
    <w:p w14:paraId="741D5E16">
      <w:pPr>
        <w:widowControl/>
        <w:spacing w:line="400" w:lineRule="exact"/>
        <w:ind w:firstLine="420"/>
        <w:rPr>
          <w:rFonts w:ascii="宋体" w:hAnsi="宋体" w:cs="Calibri"/>
          <w:color w:val="auto"/>
          <w:sz w:val="24"/>
        </w:rPr>
      </w:pPr>
      <w:r>
        <w:rPr>
          <w:rFonts w:hint="eastAsia" w:ascii="宋体" w:hAnsi="宋体" w:cs="Calibri"/>
          <w:color w:val="auto"/>
          <w:kern w:val="0"/>
          <w:sz w:val="24"/>
        </w:rPr>
        <w:t>本次项目的评审分为初步审查和详细审查。详细审查采用综合评分法，总分为100分。评审因素如下：</w:t>
      </w:r>
    </w:p>
    <w:p w14:paraId="359A21DE">
      <w:pPr>
        <w:widowControl/>
        <w:spacing w:line="400" w:lineRule="exact"/>
        <w:jc w:val="center"/>
        <w:rPr>
          <w:rFonts w:hint="eastAsia" w:ascii="宋体" w:hAnsi="宋体" w:eastAsia="宋体" w:cs="Calibri"/>
          <w:b/>
          <w:bCs/>
          <w:color w:val="auto"/>
          <w:kern w:val="0"/>
          <w:sz w:val="24"/>
        </w:rPr>
      </w:pPr>
      <w:r>
        <w:rPr>
          <w:rFonts w:hint="eastAsia" w:ascii="宋体" w:hAnsi="宋体" w:eastAsia="宋体" w:cs="Calibri"/>
          <w:b/>
          <w:bCs/>
          <w:color w:val="auto"/>
          <w:kern w:val="0"/>
          <w:sz w:val="24"/>
        </w:rPr>
        <w:t>初步审查</w:t>
      </w:r>
    </w:p>
    <w:p w14:paraId="63A14CA5">
      <w:pPr>
        <w:widowControl/>
        <w:spacing w:line="400" w:lineRule="exact"/>
        <w:jc w:val="center"/>
        <w:rPr>
          <w:rFonts w:hint="eastAsia" w:ascii="宋体" w:hAnsi="宋体" w:eastAsia="宋体" w:cs="Calibri"/>
          <w:b/>
          <w:bCs/>
          <w:color w:val="auto"/>
          <w:kern w:val="0"/>
          <w:sz w:val="24"/>
        </w:rPr>
      </w:pPr>
      <w:r>
        <w:rPr>
          <w:rFonts w:hint="eastAsia" w:ascii="宋体" w:hAnsi="宋体" w:eastAsia="宋体" w:cs="Calibri"/>
          <w:b/>
          <w:bCs/>
          <w:color w:val="auto"/>
          <w:kern w:val="0"/>
          <w:sz w:val="24"/>
        </w:rPr>
        <w:t>评标办法前附表</w:t>
      </w:r>
    </w:p>
    <w:tbl>
      <w:tblPr>
        <w:tblStyle w:val="17"/>
        <w:tblW w:w="10169"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756"/>
        <w:gridCol w:w="570"/>
        <w:gridCol w:w="350"/>
        <w:gridCol w:w="1295"/>
        <w:gridCol w:w="377"/>
        <w:gridCol w:w="6821"/>
      </w:tblGrid>
      <w:tr w14:paraId="09FD8A8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7" w:hRule="atLeast"/>
          <w:jc w:val="center"/>
        </w:trPr>
        <w:tc>
          <w:tcPr>
            <w:tcW w:w="1676" w:type="dxa"/>
            <w:gridSpan w:val="3"/>
            <w:tcBorders>
              <w:top w:val="single" w:color="auto" w:sz="4" w:space="0"/>
              <w:left w:val="single" w:color="auto" w:sz="4" w:space="0"/>
              <w:bottom w:val="single" w:color="000000" w:sz="4" w:space="0"/>
              <w:right w:val="single" w:color="000000" w:sz="4" w:space="0"/>
            </w:tcBorders>
            <w:noWrap w:val="0"/>
            <w:vAlign w:val="center"/>
          </w:tcPr>
          <w:p w14:paraId="2BF62493">
            <w:pPr>
              <w:autoSpaceDE w:val="0"/>
              <w:autoSpaceDN w:val="0"/>
              <w:spacing w:line="320" w:lineRule="exact"/>
              <w:jc w:val="center"/>
              <w:rPr>
                <w:rFonts w:hint="eastAsia" w:ascii="宋体" w:hAnsi="宋体" w:cs="宋体"/>
                <w:b/>
                <w:color w:val="auto"/>
                <w:kern w:val="0"/>
                <w:sz w:val="22"/>
                <w:szCs w:val="21"/>
              </w:rPr>
            </w:pPr>
            <w:r>
              <w:rPr>
                <w:rFonts w:hint="eastAsia" w:ascii="宋体" w:hAnsi="宋体" w:cs="宋体"/>
                <w:b/>
                <w:color w:val="auto"/>
                <w:kern w:val="0"/>
                <w:sz w:val="22"/>
                <w:szCs w:val="21"/>
              </w:rPr>
              <w:t>条款号</w:t>
            </w:r>
          </w:p>
        </w:tc>
        <w:tc>
          <w:tcPr>
            <w:tcW w:w="1672" w:type="dxa"/>
            <w:gridSpan w:val="2"/>
            <w:tcBorders>
              <w:top w:val="single" w:color="auto" w:sz="4" w:space="0"/>
              <w:left w:val="nil"/>
              <w:bottom w:val="single" w:color="000000" w:sz="4" w:space="0"/>
              <w:right w:val="single" w:color="000000" w:sz="4" w:space="0"/>
            </w:tcBorders>
            <w:noWrap w:val="0"/>
            <w:vAlign w:val="center"/>
          </w:tcPr>
          <w:p w14:paraId="6D7630D7">
            <w:pPr>
              <w:autoSpaceDE w:val="0"/>
              <w:autoSpaceDN w:val="0"/>
              <w:spacing w:line="320" w:lineRule="exact"/>
              <w:jc w:val="center"/>
              <w:rPr>
                <w:rFonts w:hint="eastAsia" w:ascii="宋体" w:hAnsi="宋体" w:cs="宋体"/>
                <w:b/>
                <w:color w:val="auto"/>
                <w:kern w:val="0"/>
                <w:sz w:val="22"/>
                <w:szCs w:val="21"/>
              </w:rPr>
            </w:pPr>
            <w:r>
              <w:rPr>
                <w:rFonts w:hint="eastAsia" w:ascii="宋体" w:hAnsi="宋体" w:cs="宋体"/>
                <w:b/>
                <w:color w:val="auto"/>
                <w:kern w:val="0"/>
                <w:sz w:val="22"/>
                <w:szCs w:val="21"/>
              </w:rPr>
              <w:t>评审因素</w:t>
            </w:r>
          </w:p>
        </w:tc>
        <w:tc>
          <w:tcPr>
            <w:tcW w:w="6821" w:type="dxa"/>
            <w:tcBorders>
              <w:top w:val="single" w:color="auto" w:sz="4" w:space="0"/>
              <w:left w:val="nil"/>
              <w:bottom w:val="single" w:color="000000" w:sz="4" w:space="0"/>
              <w:right w:val="single" w:color="000000" w:sz="4" w:space="0"/>
            </w:tcBorders>
            <w:noWrap w:val="0"/>
            <w:vAlign w:val="center"/>
          </w:tcPr>
          <w:p w14:paraId="7D99F9F1">
            <w:pPr>
              <w:autoSpaceDE w:val="0"/>
              <w:autoSpaceDN w:val="0"/>
              <w:spacing w:line="320" w:lineRule="exact"/>
              <w:jc w:val="center"/>
              <w:rPr>
                <w:rFonts w:hint="eastAsia" w:ascii="宋体" w:hAnsi="宋体" w:cs="宋体"/>
                <w:b/>
                <w:color w:val="auto"/>
                <w:kern w:val="0"/>
                <w:sz w:val="22"/>
                <w:szCs w:val="21"/>
              </w:rPr>
            </w:pPr>
            <w:r>
              <w:rPr>
                <w:rFonts w:hint="eastAsia" w:ascii="宋体" w:hAnsi="宋体" w:cs="宋体"/>
                <w:b/>
                <w:color w:val="auto"/>
                <w:kern w:val="0"/>
                <w:sz w:val="22"/>
                <w:szCs w:val="21"/>
              </w:rPr>
              <w:t>评审标准</w:t>
            </w:r>
          </w:p>
        </w:tc>
      </w:tr>
      <w:tr w14:paraId="3711FC9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84" w:hRule="atLeast"/>
          <w:jc w:val="center"/>
        </w:trPr>
        <w:tc>
          <w:tcPr>
            <w:tcW w:w="756" w:type="dxa"/>
            <w:vMerge w:val="restart"/>
            <w:tcBorders>
              <w:top w:val="nil"/>
              <w:left w:val="single" w:color="auto" w:sz="4" w:space="0"/>
              <w:bottom w:val="single" w:color="000000" w:sz="4" w:space="0"/>
              <w:right w:val="single" w:color="000000" w:sz="4" w:space="0"/>
            </w:tcBorders>
            <w:noWrap w:val="0"/>
            <w:vAlign w:val="center"/>
          </w:tcPr>
          <w:p w14:paraId="33711D77">
            <w:pPr>
              <w:autoSpaceDE w:val="0"/>
              <w:autoSpaceDN w:val="0"/>
              <w:spacing w:line="320" w:lineRule="exact"/>
              <w:jc w:val="center"/>
              <w:rPr>
                <w:rFonts w:hint="eastAsia" w:ascii="宋体" w:hAnsi="宋体" w:cs="宋体"/>
                <w:color w:val="auto"/>
                <w:kern w:val="0"/>
                <w:sz w:val="24"/>
                <w:szCs w:val="22"/>
              </w:rPr>
            </w:pPr>
            <w:r>
              <w:rPr>
                <w:rFonts w:hint="eastAsia" w:ascii="宋体" w:hAnsi="宋体" w:cs="宋体"/>
                <w:color w:val="auto"/>
                <w:kern w:val="0"/>
                <w:sz w:val="24"/>
                <w:szCs w:val="22"/>
              </w:rPr>
              <w:t>1.1</w:t>
            </w:r>
          </w:p>
        </w:tc>
        <w:tc>
          <w:tcPr>
            <w:tcW w:w="920" w:type="dxa"/>
            <w:gridSpan w:val="2"/>
            <w:vMerge w:val="restart"/>
            <w:tcBorders>
              <w:top w:val="nil"/>
              <w:left w:val="nil"/>
              <w:bottom w:val="single" w:color="000000" w:sz="4" w:space="0"/>
              <w:right w:val="single" w:color="000000" w:sz="4" w:space="0"/>
            </w:tcBorders>
            <w:noWrap w:val="0"/>
            <w:vAlign w:val="center"/>
          </w:tcPr>
          <w:p w14:paraId="76768F49">
            <w:pPr>
              <w:autoSpaceDE w:val="0"/>
              <w:autoSpaceDN w:val="0"/>
              <w:spacing w:line="320" w:lineRule="exact"/>
              <w:rPr>
                <w:rFonts w:hint="eastAsia" w:ascii="宋体" w:hAnsi="宋体" w:cs="宋体"/>
                <w:color w:val="auto"/>
                <w:kern w:val="0"/>
                <w:sz w:val="24"/>
                <w:szCs w:val="22"/>
              </w:rPr>
            </w:pPr>
            <w:r>
              <w:rPr>
                <w:rFonts w:hint="eastAsia" w:ascii="宋体" w:hAnsi="宋体" w:cs="宋体"/>
                <w:color w:val="auto"/>
                <w:kern w:val="0"/>
                <w:sz w:val="24"/>
                <w:szCs w:val="22"/>
              </w:rPr>
              <w:t>符合性评审标准</w:t>
            </w:r>
          </w:p>
        </w:tc>
        <w:tc>
          <w:tcPr>
            <w:tcW w:w="1672" w:type="dxa"/>
            <w:gridSpan w:val="2"/>
            <w:tcBorders>
              <w:top w:val="nil"/>
              <w:left w:val="nil"/>
              <w:bottom w:val="single" w:color="000000" w:sz="4" w:space="0"/>
              <w:right w:val="single" w:color="000000" w:sz="4" w:space="0"/>
            </w:tcBorders>
            <w:noWrap w:val="0"/>
            <w:vAlign w:val="center"/>
          </w:tcPr>
          <w:p w14:paraId="7B79BA90">
            <w:pPr>
              <w:spacing w:line="240" w:lineRule="auto"/>
              <w:ind w:left="15" w:leftChars="-51" w:hanging="122" w:hangingChars="51"/>
              <w:jc w:val="center"/>
              <w:rPr>
                <w:rFonts w:hint="eastAsia" w:ascii="宋体" w:hAnsi="宋体" w:cs="宋体"/>
                <w:color w:val="auto"/>
                <w:kern w:val="0"/>
                <w:sz w:val="24"/>
                <w:szCs w:val="22"/>
              </w:rPr>
            </w:pPr>
            <w:r>
              <w:rPr>
                <w:rFonts w:hint="eastAsia" w:ascii="宋体" w:hAnsi="宋体" w:cs="宋体"/>
                <w:color w:val="auto"/>
                <w:sz w:val="24"/>
                <w:szCs w:val="22"/>
              </w:rPr>
              <w:t>投标人名称</w:t>
            </w:r>
          </w:p>
        </w:tc>
        <w:tc>
          <w:tcPr>
            <w:tcW w:w="6821" w:type="dxa"/>
            <w:tcBorders>
              <w:top w:val="nil"/>
              <w:left w:val="nil"/>
              <w:bottom w:val="single" w:color="000000" w:sz="4" w:space="0"/>
              <w:right w:val="single" w:color="000000" w:sz="4" w:space="0"/>
            </w:tcBorders>
            <w:noWrap w:val="0"/>
            <w:vAlign w:val="center"/>
          </w:tcPr>
          <w:p w14:paraId="7ACFFD59">
            <w:pPr>
              <w:spacing w:line="240" w:lineRule="auto"/>
              <w:rPr>
                <w:rFonts w:hint="eastAsia" w:ascii="宋体" w:hAnsi="宋体" w:cs="宋体"/>
                <w:color w:val="auto"/>
                <w:kern w:val="0"/>
                <w:sz w:val="24"/>
                <w:szCs w:val="22"/>
              </w:rPr>
            </w:pPr>
            <w:r>
              <w:rPr>
                <w:rFonts w:hint="eastAsia" w:ascii="宋体" w:hAnsi="宋体" w:cs="宋体"/>
                <w:color w:val="auto"/>
                <w:sz w:val="24"/>
                <w:szCs w:val="22"/>
              </w:rPr>
              <w:t>与营业执照一致</w:t>
            </w:r>
          </w:p>
        </w:tc>
      </w:tr>
      <w:tr w14:paraId="2D06CBF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73" w:hRule="atLeast"/>
          <w:jc w:val="center"/>
        </w:trPr>
        <w:tc>
          <w:tcPr>
            <w:tcW w:w="756" w:type="dxa"/>
            <w:vMerge w:val="continue"/>
            <w:tcBorders>
              <w:top w:val="nil"/>
              <w:left w:val="single" w:color="auto" w:sz="4" w:space="0"/>
              <w:bottom w:val="single" w:color="000000" w:sz="4" w:space="0"/>
              <w:right w:val="single" w:color="000000" w:sz="4" w:space="0"/>
            </w:tcBorders>
            <w:noWrap w:val="0"/>
            <w:vAlign w:val="center"/>
          </w:tcPr>
          <w:p w14:paraId="55837B68">
            <w:pPr>
              <w:widowControl/>
              <w:jc w:val="left"/>
              <w:rPr>
                <w:rFonts w:hint="eastAsia" w:ascii="宋体" w:hAnsi="宋体" w:cs="宋体"/>
                <w:color w:val="auto"/>
                <w:kern w:val="0"/>
                <w:sz w:val="24"/>
                <w:szCs w:val="22"/>
              </w:rPr>
            </w:pPr>
          </w:p>
        </w:tc>
        <w:tc>
          <w:tcPr>
            <w:tcW w:w="920" w:type="dxa"/>
            <w:gridSpan w:val="2"/>
            <w:vMerge w:val="continue"/>
            <w:tcBorders>
              <w:top w:val="nil"/>
              <w:left w:val="nil"/>
              <w:bottom w:val="single" w:color="000000" w:sz="4" w:space="0"/>
              <w:right w:val="single" w:color="000000" w:sz="4" w:space="0"/>
            </w:tcBorders>
            <w:noWrap w:val="0"/>
            <w:vAlign w:val="center"/>
          </w:tcPr>
          <w:p w14:paraId="4EEFFDC1">
            <w:pPr>
              <w:widowControl/>
              <w:jc w:val="left"/>
              <w:rPr>
                <w:rFonts w:hint="eastAsia" w:ascii="宋体" w:hAnsi="宋体" w:cs="宋体"/>
                <w:color w:val="auto"/>
                <w:kern w:val="0"/>
                <w:sz w:val="24"/>
                <w:szCs w:val="22"/>
              </w:rPr>
            </w:pPr>
          </w:p>
        </w:tc>
        <w:tc>
          <w:tcPr>
            <w:tcW w:w="1672" w:type="dxa"/>
            <w:gridSpan w:val="2"/>
            <w:tcBorders>
              <w:top w:val="nil"/>
              <w:left w:val="nil"/>
              <w:bottom w:val="single" w:color="000000" w:sz="4" w:space="0"/>
              <w:right w:val="single" w:color="000000" w:sz="4" w:space="0"/>
            </w:tcBorders>
            <w:noWrap w:val="0"/>
            <w:vAlign w:val="center"/>
          </w:tcPr>
          <w:p w14:paraId="727B91A1">
            <w:pPr>
              <w:spacing w:line="240" w:lineRule="auto"/>
              <w:ind w:left="15" w:leftChars="-51" w:hanging="122" w:hangingChars="51"/>
              <w:jc w:val="center"/>
              <w:rPr>
                <w:rFonts w:hint="eastAsia" w:ascii="宋体" w:hAnsi="宋体" w:cs="宋体"/>
                <w:color w:val="auto"/>
                <w:kern w:val="0"/>
                <w:sz w:val="24"/>
                <w:szCs w:val="22"/>
              </w:rPr>
            </w:pPr>
            <w:r>
              <w:rPr>
                <w:rFonts w:hint="eastAsia" w:ascii="宋体" w:hAnsi="宋体" w:cs="宋体"/>
                <w:color w:val="auto"/>
                <w:sz w:val="24"/>
                <w:szCs w:val="22"/>
              </w:rPr>
              <w:t>投标文件签字盖章</w:t>
            </w:r>
          </w:p>
        </w:tc>
        <w:tc>
          <w:tcPr>
            <w:tcW w:w="6821" w:type="dxa"/>
            <w:tcBorders>
              <w:top w:val="nil"/>
              <w:left w:val="nil"/>
              <w:bottom w:val="single" w:color="000000" w:sz="4" w:space="0"/>
              <w:right w:val="single" w:color="000000" w:sz="4" w:space="0"/>
            </w:tcBorders>
            <w:noWrap w:val="0"/>
            <w:vAlign w:val="center"/>
          </w:tcPr>
          <w:p w14:paraId="2CC5853D">
            <w:pPr>
              <w:spacing w:line="240" w:lineRule="auto"/>
              <w:jc w:val="left"/>
              <w:rPr>
                <w:rFonts w:hint="eastAsia" w:ascii="宋体" w:hAnsi="宋体" w:cs="宋体"/>
                <w:color w:val="auto"/>
                <w:kern w:val="0"/>
                <w:sz w:val="24"/>
                <w:szCs w:val="22"/>
              </w:rPr>
            </w:pPr>
            <w:r>
              <w:rPr>
                <w:rFonts w:hint="eastAsia" w:ascii="宋体" w:hAnsi="宋体" w:cs="宋体"/>
                <w:color w:val="auto"/>
                <w:kern w:val="0"/>
                <w:sz w:val="24"/>
                <w:szCs w:val="22"/>
              </w:rPr>
              <w:t>符合第二章“供应商须知”要求</w:t>
            </w:r>
          </w:p>
        </w:tc>
      </w:tr>
      <w:tr w14:paraId="52DF9CF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86" w:hRule="atLeast"/>
          <w:jc w:val="center"/>
        </w:trPr>
        <w:tc>
          <w:tcPr>
            <w:tcW w:w="756" w:type="dxa"/>
            <w:vMerge w:val="continue"/>
            <w:tcBorders>
              <w:top w:val="nil"/>
              <w:left w:val="single" w:color="auto" w:sz="4" w:space="0"/>
              <w:bottom w:val="single" w:color="000000" w:sz="4" w:space="0"/>
              <w:right w:val="single" w:color="000000" w:sz="4" w:space="0"/>
            </w:tcBorders>
            <w:noWrap w:val="0"/>
            <w:vAlign w:val="center"/>
          </w:tcPr>
          <w:p w14:paraId="73CAC6AA">
            <w:pPr>
              <w:widowControl/>
              <w:jc w:val="left"/>
              <w:rPr>
                <w:rFonts w:hint="eastAsia" w:ascii="宋体" w:hAnsi="宋体" w:cs="宋体"/>
                <w:color w:val="auto"/>
                <w:kern w:val="0"/>
                <w:sz w:val="24"/>
                <w:szCs w:val="22"/>
              </w:rPr>
            </w:pPr>
          </w:p>
        </w:tc>
        <w:tc>
          <w:tcPr>
            <w:tcW w:w="920" w:type="dxa"/>
            <w:gridSpan w:val="2"/>
            <w:vMerge w:val="continue"/>
            <w:tcBorders>
              <w:top w:val="nil"/>
              <w:left w:val="nil"/>
              <w:bottom w:val="single" w:color="000000" w:sz="4" w:space="0"/>
              <w:right w:val="single" w:color="000000" w:sz="4" w:space="0"/>
            </w:tcBorders>
            <w:noWrap w:val="0"/>
            <w:vAlign w:val="center"/>
          </w:tcPr>
          <w:p w14:paraId="77739B65">
            <w:pPr>
              <w:widowControl/>
              <w:jc w:val="left"/>
              <w:rPr>
                <w:rFonts w:hint="eastAsia" w:ascii="宋体" w:hAnsi="宋体" w:cs="宋体"/>
                <w:color w:val="auto"/>
                <w:kern w:val="0"/>
                <w:sz w:val="24"/>
                <w:szCs w:val="22"/>
              </w:rPr>
            </w:pPr>
          </w:p>
        </w:tc>
        <w:tc>
          <w:tcPr>
            <w:tcW w:w="1672" w:type="dxa"/>
            <w:gridSpan w:val="2"/>
            <w:tcBorders>
              <w:top w:val="nil"/>
              <w:left w:val="nil"/>
              <w:bottom w:val="single" w:color="000000" w:sz="4" w:space="0"/>
              <w:right w:val="single" w:color="000000" w:sz="4" w:space="0"/>
            </w:tcBorders>
            <w:noWrap w:val="0"/>
            <w:vAlign w:val="center"/>
          </w:tcPr>
          <w:p w14:paraId="5CF8CCA2">
            <w:pPr>
              <w:spacing w:line="240" w:lineRule="auto"/>
              <w:ind w:left="15" w:leftChars="-51" w:hanging="122" w:hangingChars="51"/>
              <w:jc w:val="center"/>
              <w:rPr>
                <w:rFonts w:hint="eastAsia" w:ascii="宋体" w:hAnsi="宋体" w:cs="宋体"/>
                <w:color w:val="auto"/>
                <w:kern w:val="0"/>
                <w:sz w:val="24"/>
                <w:szCs w:val="22"/>
              </w:rPr>
            </w:pPr>
            <w:r>
              <w:rPr>
                <w:rFonts w:hint="eastAsia" w:ascii="宋体" w:hAnsi="宋体" w:cs="宋体"/>
                <w:color w:val="auto"/>
                <w:sz w:val="24"/>
                <w:szCs w:val="22"/>
              </w:rPr>
              <w:t>投标文件格式</w:t>
            </w:r>
          </w:p>
        </w:tc>
        <w:tc>
          <w:tcPr>
            <w:tcW w:w="6821" w:type="dxa"/>
            <w:tcBorders>
              <w:top w:val="nil"/>
              <w:left w:val="nil"/>
              <w:bottom w:val="single" w:color="000000" w:sz="4" w:space="0"/>
              <w:right w:val="single" w:color="000000" w:sz="4" w:space="0"/>
            </w:tcBorders>
            <w:noWrap w:val="0"/>
            <w:vAlign w:val="center"/>
          </w:tcPr>
          <w:p w14:paraId="2C65EC2F">
            <w:pPr>
              <w:spacing w:line="240" w:lineRule="auto"/>
              <w:jc w:val="left"/>
              <w:rPr>
                <w:rFonts w:hint="eastAsia" w:ascii="宋体" w:hAnsi="宋体" w:cs="宋体"/>
                <w:color w:val="auto"/>
                <w:kern w:val="0"/>
                <w:sz w:val="24"/>
                <w:szCs w:val="22"/>
              </w:rPr>
            </w:pPr>
            <w:r>
              <w:rPr>
                <w:rFonts w:hint="eastAsia" w:ascii="宋体" w:hAnsi="宋体" w:cs="宋体"/>
                <w:color w:val="auto"/>
                <w:sz w:val="24"/>
                <w:szCs w:val="22"/>
              </w:rPr>
              <w:t>符合第六章“投标文件格式”的要求</w:t>
            </w:r>
          </w:p>
        </w:tc>
      </w:tr>
      <w:tr w14:paraId="735DCCF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2" w:hRule="atLeast"/>
          <w:jc w:val="center"/>
        </w:trPr>
        <w:tc>
          <w:tcPr>
            <w:tcW w:w="756" w:type="dxa"/>
            <w:vMerge w:val="continue"/>
            <w:tcBorders>
              <w:top w:val="nil"/>
              <w:left w:val="single" w:color="auto" w:sz="4" w:space="0"/>
              <w:bottom w:val="single" w:color="000000" w:sz="4" w:space="0"/>
              <w:right w:val="single" w:color="000000" w:sz="4" w:space="0"/>
            </w:tcBorders>
            <w:noWrap w:val="0"/>
            <w:vAlign w:val="center"/>
          </w:tcPr>
          <w:p w14:paraId="2CF0825D">
            <w:pPr>
              <w:widowControl/>
              <w:jc w:val="left"/>
              <w:rPr>
                <w:rFonts w:hint="eastAsia" w:ascii="宋体" w:hAnsi="宋体" w:cs="宋体"/>
                <w:color w:val="auto"/>
                <w:kern w:val="0"/>
                <w:sz w:val="24"/>
                <w:szCs w:val="22"/>
              </w:rPr>
            </w:pPr>
          </w:p>
        </w:tc>
        <w:tc>
          <w:tcPr>
            <w:tcW w:w="920" w:type="dxa"/>
            <w:gridSpan w:val="2"/>
            <w:vMerge w:val="continue"/>
            <w:tcBorders>
              <w:top w:val="nil"/>
              <w:left w:val="nil"/>
              <w:bottom w:val="single" w:color="000000" w:sz="4" w:space="0"/>
              <w:right w:val="single" w:color="000000" w:sz="4" w:space="0"/>
            </w:tcBorders>
            <w:noWrap w:val="0"/>
            <w:vAlign w:val="center"/>
          </w:tcPr>
          <w:p w14:paraId="15FBFFB8">
            <w:pPr>
              <w:widowControl/>
              <w:jc w:val="left"/>
              <w:rPr>
                <w:rFonts w:hint="eastAsia" w:ascii="宋体" w:hAnsi="宋体" w:cs="宋体"/>
                <w:color w:val="auto"/>
                <w:kern w:val="0"/>
                <w:sz w:val="24"/>
                <w:szCs w:val="22"/>
              </w:rPr>
            </w:pPr>
          </w:p>
        </w:tc>
        <w:tc>
          <w:tcPr>
            <w:tcW w:w="1672" w:type="dxa"/>
            <w:gridSpan w:val="2"/>
            <w:tcBorders>
              <w:top w:val="nil"/>
              <w:left w:val="nil"/>
              <w:bottom w:val="single" w:color="000000" w:sz="4" w:space="0"/>
              <w:right w:val="single" w:color="000000" w:sz="4" w:space="0"/>
            </w:tcBorders>
            <w:noWrap w:val="0"/>
            <w:vAlign w:val="center"/>
          </w:tcPr>
          <w:p w14:paraId="1950649C">
            <w:pPr>
              <w:spacing w:line="240" w:lineRule="auto"/>
              <w:ind w:left="15" w:leftChars="-51" w:hanging="122" w:hangingChars="51"/>
              <w:jc w:val="center"/>
              <w:rPr>
                <w:rFonts w:hint="eastAsia" w:ascii="宋体" w:hAnsi="宋体" w:cs="宋体"/>
                <w:color w:val="auto"/>
                <w:kern w:val="0"/>
                <w:sz w:val="24"/>
                <w:szCs w:val="22"/>
              </w:rPr>
            </w:pPr>
            <w:r>
              <w:rPr>
                <w:rFonts w:hint="eastAsia" w:ascii="宋体" w:hAnsi="宋体" w:cs="宋体"/>
                <w:color w:val="auto"/>
                <w:sz w:val="24"/>
                <w:szCs w:val="22"/>
              </w:rPr>
              <w:t>报价唯一</w:t>
            </w:r>
          </w:p>
        </w:tc>
        <w:tc>
          <w:tcPr>
            <w:tcW w:w="6821" w:type="dxa"/>
            <w:tcBorders>
              <w:top w:val="nil"/>
              <w:left w:val="nil"/>
              <w:bottom w:val="single" w:color="000000" w:sz="4" w:space="0"/>
              <w:right w:val="single" w:color="000000" w:sz="4" w:space="0"/>
            </w:tcBorders>
            <w:noWrap w:val="0"/>
            <w:vAlign w:val="center"/>
          </w:tcPr>
          <w:p w14:paraId="05A0DFD8">
            <w:pPr>
              <w:spacing w:line="240" w:lineRule="auto"/>
              <w:rPr>
                <w:rFonts w:hint="eastAsia" w:ascii="宋体" w:hAnsi="宋体" w:cs="宋体"/>
                <w:color w:val="auto"/>
                <w:kern w:val="0"/>
                <w:sz w:val="24"/>
                <w:szCs w:val="22"/>
              </w:rPr>
            </w:pPr>
            <w:r>
              <w:rPr>
                <w:rFonts w:hint="eastAsia" w:ascii="宋体" w:hAnsi="宋体" w:cs="宋体"/>
                <w:color w:val="auto"/>
                <w:sz w:val="24"/>
                <w:szCs w:val="22"/>
              </w:rPr>
              <w:t>只能有一个有效报价</w:t>
            </w:r>
          </w:p>
        </w:tc>
      </w:tr>
      <w:tr w14:paraId="6341C16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7" w:hRule="atLeast"/>
          <w:jc w:val="center"/>
        </w:trPr>
        <w:tc>
          <w:tcPr>
            <w:tcW w:w="756" w:type="dxa"/>
            <w:vMerge w:val="restart"/>
            <w:tcBorders>
              <w:top w:val="nil"/>
              <w:left w:val="single" w:color="auto" w:sz="4" w:space="0"/>
              <w:right w:val="single" w:color="000000" w:sz="4" w:space="0"/>
            </w:tcBorders>
            <w:noWrap w:val="0"/>
            <w:vAlign w:val="center"/>
          </w:tcPr>
          <w:p w14:paraId="1E564A3E">
            <w:pPr>
              <w:autoSpaceDE w:val="0"/>
              <w:autoSpaceDN w:val="0"/>
              <w:spacing w:line="320" w:lineRule="exact"/>
              <w:jc w:val="center"/>
              <w:rPr>
                <w:rFonts w:hint="eastAsia" w:ascii="宋体" w:hAnsi="宋体" w:cs="宋体"/>
                <w:color w:val="auto"/>
                <w:kern w:val="0"/>
                <w:sz w:val="24"/>
                <w:szCs w:val="22"/>
              </w:rPr>
            </w:pPr>
            <w:r>
              <w:rPr>
                <w:rFonts w:hint="eastAsia" w:ascii="宋体" w:hAnsi="宋体" w:cs="宋体"/>
                <w:color w:val="auto"/>
                <w:kern w:val="0"/>
                <w:sz w:val="24"/>
                <w:szCs w:val="22"/>
              </w:rPr>
              <w:t>1.2</w:t>
            </w:r>
          </w:p>
        </w:tc>
        <w:tc>
          <w:tcPr>
            <w:tcW w:w="920" w:type="dxa"/>
            <w:gridSpan w:val="2"/>
            <w:vMerge w:val="restart"/>
            <w:tcBorders>
              <w:top w:val="nil"/>
              <w:left w:val="nil"/>
              <w:right w:val="single" w:color="000000" w:sz="4" w:space="0"/>
            </w:tcBorders>
            <w:noWrap w:val="0"/>
            <w:vAlign w:val="center"/>
          </w:tcPr>
          <w:p w14:paraId="487052E6">
            <w:pPr>
              <w:autoSpaceDE w:val="0"/>
              <w:autoSpaceDN w:val="0"/>
              <w:spacing w:line="320" w:lineRule="exact"/>
              <w:jc w:val="center"/>
              <w:rPr>
                <w:rFonts w:hint="eastAsia" w:ascii="宋体" w:hAnsi="宋体" w:cs="宋体"/>
                <w:color w:val="auto"/>
                <w:kern w:val="0"/>
                <w:sz w:val="24"/>
                <w:szCs w:val="22"/>
              </w:rPr>
            </w:pPr>
            <w:r>
              <w:rPr>
                <w:rFonts w:hint="eastAsia" w:ascii="宋体" w:hAnsi="宋体" w:cs="宋体"/>
                <w:color w:val="auto"/>
                <w:kern w:val="0"/>
                <w:sz w:val="24"/>
                <w:szCs w:val="22"/>
              </w:rPr>
              <w:t>资格评审标</w:t>
            </w:r>
            <w:r>
              <w:rPr>
                <w:rFonts w:hint="eastAsia" w:ascii="宋体" w:hAnsi="宋体" w:cs="宋体"/>
                <w:color w:val="auto"/>
                <w:kern w:val="0"/>
                <w:sz w:val="24"/>
                <w:szCs w:val="22"/>
                <w:lang w:val="en-US" w:eastAsia="zh-CN"/>
              </w:rPr>
              <w:t xml:space="preserve"> </w:t>
            </w:r>
            <w:r>
              <w:rPr>
                <w:rFonts w:hint="eastAsia" w:ascii="宋体" w:hAnsi="宋体" w:cs="宋体"/>
                <w:color w:val="auto"/>
                <w:kern w:val="0"/>
                <w:sz w:val="24"/>
                <w:szCs w:val="22"/>
              </w:rPr>
              <w:t>准</w:t>
            </w:r>
          </w:p>
        </w:tc>
        <w:tc>
          <w:tcPr>
            <w:tcW w:w="1672" w:type="dxa"/>
            <w:gridSpan w:val="2"/>
            <w:tcBorders>
              <w:top w:val="nil"/>
              <w:left w:val="nil"/>
              <w:bottom w:val="single" w:color="000000" w:sz="4" w:space="0"/>
              <w:right w:val="single" w:color="000000" w:sz="4" w:space="0"/>
            </w:tcBorders>
            <w:noWrap w:val="0"/>
            <w:vAlign w:val="center"/>
          </w:tcPr>
          <w:p w14:paraId="090FF734">
            <w:pPr>
              <w:spacing w:line="240" w:lineRule="auto"/>
              <w:ind w:left="15" w:leftChars="-51" w:hanging="122" w:hangingChars="51"/>
              <w:jc w:val="center"/>
              <w:rPr>
                <w:rFonts w:hint="eastAsia" w:ascii="宋体" w:hAnsi="宋体" w:cs="宋体"/>
                <w:color w:val="auto"/>
                <w:sz w:val="24"/>
                <w:szCs w:val="22"/>
              </w:rPr>
            </w:pPr>
            <w:r>
              <w:rPr>
                <w:rFonts w:hint="eastAsia" w:ascii="宋体" w:hAnsi="宋体" w:cs="宋体"/>
                <w:color w:val="auto"/>
                <w:sz w:val="24"/>
                <w:szCs w:val="22"/>
              </w:rPr>
              <w:t>营业执照</w:t>
            </w:r>
          </w:p>
        </w:tc>
        <w:tc>
          <w:tcPr>
            <w:tcW w:w="6821" w:type="dxa"/>
            <w:tcBorders>
              <w:top w:val="nil"/>
              <w:left w:val="nil"/>
              <w:bottom w:val="single" w:color="000000" w:sz="4" w:space="0"/>
              <w:right w:val="single" w:color="000000" w:sz="4" w:space="0"/>
            </w:tcBorders>
            <w:noWrap w:val="0"/>
            <w:vAlign w:val="center"/>
          </w:tcPr>
          <w:p w14:paraId="77B112FE">
            <w:pPr>
              <w:spacing w:line="240" w:lineRule="auto"/>
              <w:ind w:left="15" w:leftChars="-51" w:hanging="122" w:hangingChars="51"/>
              <w:jc w:val="left"/>
              <w:rPr>
                <w:rFonts w:hint="eastAsia" w:ascii="宋体" w:hAnsi="宋体" w:cs="宋体"/>
                <w:color w:val="auto"/>
                <w:sz w:val="24"/>
                <w:szCs w:val="22"/>
              </w:rPr>
            </w:pPr>
            <w:r>
              <w:rPr>
                <w:rFonts w:hint="eastAsia" w:ascii="宋体" w:hAnsi="宋体" w:cs="宋体"/>
                <w:color w:val="auto"/>
                <w:sz w:val="24"/>
                <w:szCs w:val="22"/>
              </w:rPr>
              <w:t>在中国境内注册具有独立法人资格持有工商行政管理部门核发的真实有效的企业法人营业执照；</w:t>
            </w:r>
          </w:p>
        </w:tc>
      </w:tr>
      <w:tr w14:paraId="2D4D228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756" w:type="dxa"/>
            <w:vMerge w:val="continue"/>
            <w:tcBorders>
              <w:left w:val="single" w:color="auto" w:sz="4" w:space="0"/>
              <w:right w:val="single" w:color="000000" w:sz="4" w:space="0"/>
            </w:tcBorders>
            <w:noWrap w:val="0"/>
            <w:vAlign w:val="center"/>
          </w:tcPr>
          <w:p w14:paraId="770D3004">
            <w:pPr>
              <w:autoSpaceDE w:val="0"/>
              <w:autoSpaceDN w:val="0"/>
              <w:spacing w:line="320" w:lineRule="exact"/>
              <w:jc w:val="center"/>
              <w:rPr>
                <w:rFonts w:hint="eastAsia" w:ascii="宋体" w:hAnsi="宋体" w:cs="宋体"/>
                <w:color w:val="auto"/>
                <w:kern w:val="0"/>
                <w:sz w:val="24"/>
                <w:szCs w:val="22"/>
              </w:rPr>
            </w:pPr>
          </w:p>
        </w:tc>
        <w:tc>
          <w:tcPr>
            <w:tcW w:w="920" w:type="dxa"/>
            <w:gridSpan w:val="2"/>
            <w:vMerge w:val="continue"/>
            <w:tcBorders>
              <w:left w:val="nil"/>
              <w:right w:val="single" w:color="000000" w:sz="4" w:space="0"/>
            </w:tcBorders>
            <w:noWrap w:val="0"/>
            <w:vAlign w:val="center"/>
          </w:tcPr>
          <w:p w14:paraId="6ECBA892">
            <w:pPr>
              <w:autoSpaceDE w:val="0"/>
              <w:autoSpaceDN w:val="0"/>
              <w:spacing w:line="320" w:lineRule="exact"/>
              <w:rPr>
                <w:rFonts w:hint="eastAsia" w:ascii="宋体" w:hAnsi="宋体" w:cs="宋体"/>
                <w:color w:val="auto"/>
                <w:kern w:val="0"/>
                <w:sz w:val="24"/>
                <w:szCs w:val="22"/>
              </w:rPr>
            </w:pPr>
          </w:p>
        </w:tc>
        <w:tc>
          <w:tcPr>
            <w:tcW w:w="1672" w:type="dxa"/>
            <w:gridSpan w:val="2"/>
            <w:tcBorders>
              <w:top w:val="nil"/>
              <w:left w:val="nil"/>
              <w:bottom w:val="single" w:color="000000" w:sz="4" w:space="0"/>
              <w:right w:val="single" w:color="000000" w:sz="4" w:space="0"/>
            </w:tcBorders>
            <w:noWrap w:val="0"/>
            <w:vAlign w:val="center"/>
          </w:tcPr>
          <w:p w14:paraId="17A062A3">
            <w:pPr>
              <w:spacing w:line="240" w:lineRule="auto"/>
              <w:ind w:left="15" w:leftChars="-51" w:hanging="122" w:hangingChars="51"/>
              <w:jc w:val="center"/>
              <w:rPr>
                <w:rFonts w:hint="eastAsia" w:ascii="宋体" w:hAnsi="宋体" w:cs="宋体"/>
                <w:color w:val="auto"/>
                <w:sz w:val="24"/>
                <w:szCs w:val="22"/>
              </w:rPr>
            </w:pPr>
            <w:r>
              <w:rPr>
                <w:rFonts w:hint="eastAsia" w:ascii="宋体" w:hAnsi="宋体" w:cs="宋体"/>
                <w:color w:val="auto"/>
                <w:sz w:val="24"/>
                <w:szCs w:val="22"/>
              </w:rPr>
              <w:t>设备和专业技术能力</w:t>
            </w:r>
          </w:p>
        </w:tc>
        <w:tc>
          <w:tcPr>
            <w:tcW w:w="6821" w:type="dxa"/>
            <w:tcBorders>
              <w:top w:val="nil"/>
              <w:left w:val="nil"/>
              <w:bottom w:val="single" w:color="000000" w:sz="4" w:space="0"/>
              <w:right w:val="single" w:color="000000" w:sz="4" w:space="0"/>
            </w:tcBorders>
            <w:noWrap w:val="0"/>
            <w:vAlign w:val="center"/>
          </w:tcPr>
          <w:p w14:paraId="2CCFA499">
            <w:pPr>
              <w:spacing w:line="240" w:lineRule="auto"/>
              <w:ind w:left="15" w:leftChars="-51" w:hanging="122" w:hangingChars="51"/>
              <w:jc w:val="left"/>
              <w:rPr>
                <w:rFonts w:hint="eastAsia" w:ascii="宋体" w:hAnsi="宋体" w:cs="宋体"/>
                <w:color w:val="auto"/>
                <w:sz w:val="24"/>
                <w:szCs w:val="22"/>
              </w:rPr>
            </w:pPr>
            <w:r>
              <w:rPr>
                <w:rFonts w:hint="eastAsia" w:ascii="宋体" w:hAnsi="宋体" w:cs="宋体"/>
                <w:color w:val="auto"/>
                <w:sz w:val="24"/>
                <w:szCs w:val="22"/>
              </w:rPr>
              <w:t>具有履行本项目所必须的设备和专业技术服务能力；(提供证明材料或承诺书)</w:t>
            </w:r>
          </w:p>
        </w:tc>
      </w:tr>
      <w:tr w14:paraId="5EBE4C1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6" w:hRule="atLeast"/>
          <w:jc w:val="center"/>
        </w:trPr>
        <w:tc>
          <w:tcPr>
            <w:tcW w:w="756" w:type="dxa"/>
            <w:vMerge w:val="continue"/>
            <w:tcBorders>
              <w:left w:val="single" w:color="auto" w:sz="4" w:space="0"/>
              <w:right w:val="single" w:color="000000" w:sz="4" w:space="0"/>
            </w:tcBorders>
            <w:noWrap w:val="0"/>
            <w:vAlign w:val="center"/>
          </w:tcPr>
          <w:p w14:paraId="581BFDF3">
            <w:pPr>
              <w:widowControl/>
              <w:jc w:val="left"/>
              <w:rPr>
                <w:rFonts w:hint="eastAsia" w:ascii="宋体" w:hAnsi="宋体" w:cs="宋体"/>
                <w:color w:val="auto"/>
                <w:kern w:val="0"/>
                <w:sz w:val="24"/>
                <w:szCs w:val="22"/>
              </w:rPr>
            </w:pPr>
          </w:p>
        </w:tc>
        <w:tc>
          <w:tcPr>
            <w:tcW w:w="920" w:type="dxa"/>
            <w:gridSpan w:val="2"/>
            <w:vMerge w:val="continue"/>
            <w:tcBorders>
              <w:left w:val="nil"/>
              <w:right w:val="single" w:color="000000" w:sz="4" w:space="0"/>
            </w:tcBorders>
            <w:noWrap w:val="0"/>
            <w:vAlign w:val="center"/>
          </w:tcPr>
          <w:p w14:paraId="14FB9ACC">
            <w:pPr>
              <w:widowControl/>
              <w:jc w:val="left"/>
              <w:rPr>
                <w:rFonts w:hint="eastAsia" w:ascii="宋体" w:hAnsi="宋体" w:cs="宋体"/>
                <w:color w:val="auto"/>
                <w:kern w:val="0"/>
                <w:sz w:val="24"/>
                <w:szCs w:val="22"/>
              </w:rPr>
            </w:pPr>
          </w:p>
        </w:tc>
        <w:tc>
          <w:tcPr>
            <w:tcW w:w="1672" w:type="dxa"/>
            <w:gridSpan w:val="2"/>
            <w:tcBorders>
              <w:top w:val="nil"/>
              <w:left w:val="nil"/>
              <w:bottom w:val="single" w:color="auto" w:sz="4" w:space="0"/>
              <w:right w:val="single" w:color="000000" w:sz="4" w:space="0"/>
            </w:tcBorders>
            <w:noWrap w:val="0"/>
            <w:vAlign w:val="center"/>
          </w:tcPr>
          <w:p w14:paraId="53B7DACC">
            <w:pPr>
              <w:spacing w:line="240" w:lineRule="auto"/>
              <w:ind w:left="15" w:leftChars="-51" w:hanging="122" w:hangingChars="51"/>
              <w:jc w:val="center"/>
              <w:rPr>
                <w:rFonts w:hint="default" w:ascii="宋体" w:hAnsi="宋体" w:cs="宋体" w:eastAsiaTheme="minorEastAsia"/>
                <w:color w:val="auto"/>
                <w:sz w:val="24"/>
                <w:szCs w:val="22"/>
                <w:lang w:val="en-US" w:eastAsia="zh-CN"/>
              </w:rPr>
            </w:pPr>
            <w:r>
              <w:rPr>
                <w:rFonts w:hint="eastAsia" w:ascii="宋体" w:hAnsi="宋体" w:cs="宋体"/>
                <w:color w:val="auto"/>
                <w:sz w:val="24"/>
                <w:szCs w:val="22"/>
              </w:rPr>
              <w:t>依法缴纳税收</w:t>
            </w:r>
            <w:r>
              <w:rPr>
                <w:rFonts w:hint="eastAsia" w:ascii="宋体" w:hAnsi="宋体" w:cs="宋体"/>
                <w:color w:val="auto"/>
                <w:sz w:val="24"/>
                <w:szCs w:val="22"/>
                <w:lang w:val="en-US" w:eastAsia="zh-CN"/>
              </w:rPr>
              <w:t>和社会保障资金</w:t>
            </w:r>
          </w:p>
        </w:tc>
        <w:tc>
          <w:tcPr>
            <w:tcW w:w="6821" w:type="dxa"/>
            <w:tcBorders>
              <w:top w:val="nil"/>
              <w:left w:val="nil"/>
              <w:bottom w:val="single" w:color="auto" w:sz="4" w:space="0"/>
              <w:right w:val="single" w:color="000000" w:sz="4" w:space="0"/>
            </w:tcBorders>
            <w:noWrap w:val="0"/>
            <w:vAlign w:val="center"/>
          </w:tcPr>
          <w:p w14:paraId="50151AFE">
            <w:pPr>
              <w:spacing w:line="240" w:lineRule="auto"/>
              <w:ind w:left="15" w:leftChars="-51" w:hanging="122" w:hangingChars="51"/>
              <w:jc w:val="left"/>
              <w:rPr>
                <w:rFonts w:hint="eastAsia" w:ascii="宋体" w:hAnsi="宋体" w:cs="宋体"/>
                <w:color w:val="auto"/>
                <w:sz w:val="24"/>
                <w:szCs w:val="22"/>
              </w:rPr>
            </w:pPr>
            <w:r>
              <w:rPr>
                <w:rFonts w:hint="eastAsia" w:ascii="宋体" w:hAnsi="宋体" w:cs="宋体"/>
                <w:color w:val="auto"/>
                <w:sz w:val="24"/>
                <w:szCs w:val="22"/>
              </w:rPr>
              <w:t>依法缴纳税收（提供2024年以来任意一个月企业依法缴纳税收证明材料）和缴纳社会保障资金（提供2024年以来任意一个月拟派项目负责人依法缴纳社保证明材料）</w:t>
            </w:r>
          </w:p>
        </w:tc>
      </w:tr>
      <w:tr w14:paraId="6F63F075">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696" w:hRule="atLeast"/>
          <w:jc w:val="center"/>
        </w:trPr>
        <w:tc>
          <w:tcPr>
            <w:tcW w:w="756" w:type="dxa"/>
            <w:vMerge w:val="continue"/>
            <w:tcBorders>
              <w:left w:val="single" w:color="auto" w:sz="4" w:space="0"/>
              <w:right w:val="single" w:color="000000" w:sz="4" w:space="0"/>
            </w:tcBorders>
            <w:noWrap w:val="0"/>
            <w:vAlign w:val="center"/>
          </w:tcPr>
          <w:p w14:paraId="51B5D3A6">
            <w:pPr>
              <w:widowControl/>
              <w:jc w:val="left"/>
              <w:rPr>
                <w:rFonts w:hint="eastAsia" w:ascii="宋体" w:hAnsi="宋体" w:cs="宋体"/>
                <w:color w:val="auto"/>
                <w:kern w:val="0"/>
                <w:sz w:val="24"/>
                <w:szCs w:val="22"/>
              </w:rPr>
            </w:pPr>
          </w:p>
        </w:tc>
        <w:tc>
          <w:tcPr>
            <w:tcW w:w="920" w:type="dxa"/>
            <w:gridSpan w:val="2"/>
            <w:vMerge w:val="continue"/>
            <w:tcBorders>
              <w:left w:val="nil"/>
              <w:right w:val="single" w:color="auto" w:sz="4" w:space="0"/>
            </w:tcBorders>
            <w:noWrap w:val="0"/>
            <w:vAlign w:val="center"/>
          </w:tcPr>
          <w:p w14:paraId="2E8A59D3">
            <w:pPr>
              <w:widowControl/>
              <w:jc w:val="left"/>
              <w:rPr>
                <w:rFonts w:hint="eastAsia" w:ascii="宋体" w:hAnsi="宋体" w:cs="宋体"/>
                <w:color w:val="auto"/>
                <w:kern w:val="0"/>
                <w:sz w:val="24"/>
                <w:szCs w:val="22"/>
              </w:rPr>
            </w:pPr>
          </w:p>
        </w:tc>
        <w:tc>
          <w:tcPr>
            <w:tcW w:w="1672" w:type="dxa"/>
            <w:gridSpan w:val="2"/>
            <w:tcBorders>
              <w:top w:val="single" w:color="auto" w:sz="4" w:space="0"/>
              <w:left w:val="single" w:color="auto" w:sz="4" w:space="0"/>
              <w:bottom w:val="single" w:color="auto" w:sz="4" w:space="0"/>
              <w:right w:val="single" w:color="auto" w:sz="4" w:space="0"/>
            </w:tcBorders>
            <w:noWrap w:val="0"/>
            <w:vAlign w:val="center"/>
          </w:tcPr>
          <w:p w14:paraId="3131162C">
            <w:pPr>
              <w:spacing w:line="360" w:lineRule="auto"/>
              <w:ind w:left="15" w:leftChars="-51" w:hanging="122" w:hangingChars="51"/>
              <w:jc w:val="center"/>
              <w:rPr>
                <w:rFonts w:hint="eastAsia" w:ascii="宋体" w:hAnsi="宋体" w:cs="宋体"/>
                <w:color w:val="auto"/>
                <w:sz w:val="24"/>
                <w:szCs w:val="22"/>
              </w:rPr>
            </w:pPr>
            <w:r>
              <w:rPr>
                <w:rFonts w:hint="eastAsia" w:ascii="宋体" w:hAnsi="宋体" w:cs="宋体"/>
                <w:color w:val="auto"/>
                <w:sz w:val="24"/>
                <w:szCs w:val="22"/>
              </w:rPr>
              <w:t>承诺书</w:t>
            </w:r>
          </w:p>
        </w:tc>
        <w:tc>
          <w:tcPr>
            <w:tcW w:w="6821" w:type="dxa"/>
            <w:tcBorders>
              <w:top w:val="single" w:color="auto" w:sz="4" w:space="0"/>
              <w:left w:val="single" w:color="auto" w:sz="4" w:space="0"/>
              <w:bottom w:val="single" w:color="auto" w:sz="4" w:space="0"/>
              <w:right w:val="single" w:color="auto" w:sz="4" w:space="0"/>
            </w:tcBorders>
            <w:noWrap w:val="0"/>
            <w:vAlign w:val="center"/>
          </w:tcPr>
          <w:p w14:paraId="45AA0C38">
            <w:pPr>
              <w:spacing w:line="360" w:lineRule="auto"/>
              <w:ind w:left="15" w:leftChars="-51" w:hanging="122" w:hangingChars="51"/>
              <w:jc w:val="left"/>
              <w:rPr>
                <w:rFonts w:hint="eastAsia" w:ascii="宋体" w:hAnsi="宋体" w:cs="宋体"/>
                <w:color w:val="auto"/>
                <w:sz w:val="24"/>
                <w:szCs w:val="22"/>
              </w:rPr>
            </w:pPr>
            <w:r>
              <w:rPr>
                <w:rFonts w:hint="eastAsia" w:ascii="宋体" w:hAnsi="宋体" w:cs="宋体"/>
                <w:color w:val="auto"/>
                <w:sz w:val="24"/>
                <w:szCs w:val="22"/>
                <w:lang w:val="en-US" w:eastAsia="zh-CN"/>
              </w:rPr>
              <w:t>1、参</w:t>
            </w:r>
            <w:r>
              <w:rPr>
                <w:rFonts w:hint="eastAsia" w:ascii="宋体" w:hAnsi="宋体" w:cs="宋体"/>
                <w:color w:val="auto"/>
                <w:sz w:val="24"/>
                <w:szCs w:val="22"/>
              </w:rPr>
              <w:t>加政府采购活动前3年内无行贿犯罪记录，（开标时提供《中国裁判文书网》查询结果网页截图或企业自行承诺的无行贿犯罪承诺书，查询&lt;承诺&gt;对象为“企业，法定代表人，项目负责人”）；</w:t>
            </w:r>
          </w:p>
          <w:p w14:paraId="5E10F2D2">
            <w:pPr>
              <w:spacing w:line="360" w:lineRule="auto"/>
              <w:ind w:left="15" w:leftChars="-51" w:hanging="122" w:hangingChars="51"/>
              <w:jc w:val="left"/>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参加政府采购活动前3年内无商业贿赂、不正当竞争行为、骗取中标、严重违约及重大工程质量等问题（供应商须自行出具承诺书）</w:t>
            </w:r>
          </w:p>
        </w:tc>
      </w:tr>
      <w:tr w14:paraId="50A06BB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right w:val="single" w:color="000000" w:sz="4" w:space="0"/>
            </w:tcBorders>
            <w:noWrap w:val="0"/>
            <w:vAlign w:val="center"/>
          </w:tcPr>
          <w:p w14:paraId="05DF1C25">
            <w:pPr>
              <w:widowControl/>
              <w:jc w:val="left"/>
              <w:rPr>
                <w:rFonts w:hint="eastAsia" w:ascii="宋体" w:hAnsi="宋体" w:cs="宋体"/>
                <w:color w:val="auto"/>
                <w:kern w:val="0"/>
                <w:sz w:val="24"/>
                <w:szCs w:val="22"/>
              </w:rPr>
            </w:pPr>
          </w:p>
        </w:tc>
        <w:tc>
          <w:tcPr>
            <w:tcW w:w="920" w:type="dxa"/>
            <w:gridSpan w:val="2"/>
            <w:vMerge w:val="continue"/>
            <w:tcBorders>
              <w:left w:val="nil"/>
              <w:right w:val="single" w:color="000000" w:sz="4" w:space="0"/>
            </w:tcBorders>
            <w:noWrap w:val="0"/>
            <w:vAlign w:val="center"/>
          </w:tcPr>
          <w:p w14:paraId="682F4F83">
            <w:pPr>
              <w:widowControl/>
              <w:jc w:val="left"/>
              <w:rPr>
                <w:rFonts w:hint="eastAsia" w:ascii="宋体" w:hAnsi="宋体" w:cs="宋体"/>
                <w:color w:val="auto"/>
                <w:kern w:val="0"/>
                <w:sz w:val="24"/>
                <w:szCs w:val="22"/>
              </w:rPr>
            </w:pPr>
          </w:p>
        </w:tc>
        <w:tc>
          <w:tcPr>
            <w:tcW w:w="1672" w:type="dxa"/>
            <w:gridSpan w:val="2"/>
            <w:tcBorders>
              <w:top w:val="single" w:color="auto" w:sz="4" w:space="0"/>
              <w:left w:val="nil"/>
              <w:bottom w:val="single" w:color="auto" w:sz="4" w:space="0"/>
              <w:right w:val="single" w:color="000000" w:sz="4" w:space="0"/>
            </w:tcBorders>
            <w:noWrap w:val="0"/>
            <w:vAlign w:val="center"/>
          </w:tcPr>
          <w:p w14:paraId="205CF3CA">
            <w:pPr>
              <w:spacing w:line="360" w:lineRule="auto"/>
              <w:ind w:left="15" w:leftChars="-51" w:hanging="122" w:hangingChars="51"/>
              <w:jc w:val="center"/>
              <w:rPr>
                <w:rFonts w:hint="eastAsia" w:ascii="宋体" w:hAnsi="宋体" w:cs="宋体"/>
                <w:color w:val="auto"/>
                <w:sz w:val="24"/>
                <w:szCs w:val="22"/>
              </w:rPr>
            </w:pPr>
            <w:r>
              <w:rPr>
                <w:rFonts w:hint="eastAsia" w:ascii="宋体" w:hAnsi="宋体" w:cs="宋体"/>
                <w:color w:val="auto"/>
                <w:sz w:val="24"/>
                <w:szCs w:val="22"/>
              </w:rPr>
              <w:t>信用查询</w:t>
            </w:r>
          </w:p>
        </w:tc>
        <w:tc>
          <w:tcPr>
            <w:tcW w:w="6821" w:type="dxa"/>
            <w:tcBorders>
              <w:top w:val="single" w:color="auto" w:sz="4" w:space="0"/>
              <w:left w:val="nil"/>
              <w:bottom w:val="single" w:color="auto" w:sz="4" w:space="0"/>
              <w:right w:val="single" w:color="000000" w:sz="4" w:space="0"/>
            </w:tcBorders>
            <w:noWrap w:val="0"/>
            <w:vAlign w:val="center"/>
          </w:tcPr>
          <w:p w14:paraId="2CE121CE">
            <w:pPr>
              <w:keepNext w:val="0"/>
              <w:keepLines w:val="0"/>
              <w:pageBreakBefore w:val="0"/>
              <w:widowControl/>
              <w:kinsoku/>
              <w:wordWrap w:val="0"/>
              <w:overflowPunct/>
              <w:topLinePunct w:val="0"/>
              <w:autoSpaceDE/>
              <w:autoSpaceDN/>
              <w:bidi w:val="0"/>
              <w:adjustRightInd/>
              <w:snapToGrid/>
              <w:spacing w:line="360" w:lineRule="auto"/>
              <w:ind w:left="122" w:leftChars="0" w:hanging="122" w:hangingChars="51"/>
              <w:jc w:val="left"/>
              <w:textAlignment w:val="auto"/>
              <w:rPr>
                <w:rFonts w:hint="eastAsia" w:ascii="宋体" w:hAnsi="宋体" w:cs="宋体"/>
                <w:color w:val="auto"/>
                <w:sz w:val="24"/>
                <w:szCs w:val="22"/>
              </w:rPr>
            </w:pPr>
            <w:r>
              <w:rPr>
                <w:rFonts w:hint="eastAsia" w:ascii="宋体" w:hAnsi="宋体" w:cs="宋体"/>
                <w:color w:val="auto"/>
                <w:sz w:val="24"/>
                <w:szCs w:val="22"/>
                <w:lang w:val="zh-TW" w:eastAsia="zh-TW"/>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w:t>
            </w:r>
            <w:r>
              <w:rPr>
                <w:rFonts w:hint="eastAsia" w:ascii="宋体" w:hAnsi="宋体" w:cs="宋体"/>
                <w:color w:val="auto"/>
                <w:sz w:val="24"/>
                <w:szCs w:val="22"/>
              </w:rPr>
              <w:t>(注：査询时间必须是公告发布以后开标时间以前并提供网站查询网页截图，查询结果清晰可见)</w:t>
            </w:r>
          </w:p>
        </w:tc>
      </w:tr>
      <w:tr w14:paraId="53CB80E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756" w:type="dxa"/>
            <w:vMerge w:val="continue"/>
            <w:tcBorders>
              <w:left w:val="single" w:color="auto" w:sz="4" w:space="0"/>
              <w:right w:val="single" w:color="000000" w:sz="4" w:space="0"/>
            </w:tcBorders>
            <w:noWrap w:val="0"/>
            <w:vAlign w:val="center"/>
          </w:tcPr>
          <w:p w14:paraId="217FD736">
            <w:pPr>
              <w:widowControl/>
              <w:jc w:val="left"/>
              <w:rPr>
                <w:rFonts w:hint="eastAsia" w:ascii="宋体" w:hAnsi="宋体" w:cs="宋体"/>
                <w:color w:val="auto"/>
                <w:kern w:val="0"/>
                <w:sz w:val="24"/>
                <w:szCs w:val="22"/>
              </w:rPr>
            </w:pPr>
          </w:p>
        </w:tc>
        <w:tc>
          <w:tcPr>
            <w:tcW w:w="920" w:type="dxa"/>
            <w:gridSpan w:val="2"/>
            <w:vMerge w:val="continue"/>
            <w:tcBorders>
              <w:left w:val="nil"/>
              <w:right w:val="single" w:color="000000" w:sz="4" w:space="0"/>
            </w:tcBorders>
            <w:noWrap w:val="0"/>
            <w:vAlign w:val="center"/>
          </w:tcPr>
          <w:p w14:paraId="7881F386">
            <w:pPr>
              <w:widowControl/>
              <w:jc w:val="left"/>
              <w:rPr>
                <w:rFonts w:hint="eastAsia" w:ascii="宋体" w:hAnsi="宋体" w:cs="宋体"/>
                <w:color w:val="auto"/>
                <w:kern w:val="0"/>
                <w:sz w:val="24"/>
                <w:szCs w:val="22"/>
              </w:rPr>
            </w:pPr>
          </w:p>
        </w:tc>
        <w:tc>
          <w:tcPr>
            <w:tcW w:w="1672" w:type="dxa"/>
            <w:gridSpan w:val="2"/>
            <w:tcBorders>
              <w:top w:val="nil"/>
              <w:left w:val="nil"/>
              <w:bottom w:val="single" w:color="auto" w:sz="4" w:space="0"/>
              <w:right w:val="single" w:color="000000" w:sz="4" w:space="0"/>
            </w:tcBorders>
            <w:noWrap w:val="0"/>
            <w:vAlign w:val="center"/>
          </w:tcPr>
          <w:p w14:paraId="4D6D1F24">
            <w:pPr>
              <w:widowControl/>
              <w:spacing w:line="360" w:lineRule="auto"/>
              <w:ind w:left="15" w:leftChars="-51" w:hanging="122" w:hangingChars="51"/>
              <w:jc w:val="center"/>
              <w:rPr>
                <w:rFonts w:hint="eastAsia" w:ascii="宋体" w:hAnsi="宋体" w:cs="宋体"/>
                <w:color w:val="auto"/>
                <w:sz w:val="24"/>
                <w:szCs w:val="22"/>
              </w:rPr>
            </w:pPr>
            <w:r>
              <w:rPr>
                <w:rFonts w:hint="eastAsia" w:ascii="宋体" w:hAnsi="宋体" w:cs="宋体"/>
                <w:color w:val="auto"/>
                <w:sz w:val="24"/>
                <w:szCs w:val="22"/>
              </w:rPr>
              <w:t>其他要求</w:t>
            </w:r>
          </w:p>
        </w:tc>
        <w:tc>
          <w:tcPr>
            <w:tcW w:w="6821" w:type="dxa"/>
            <w:tcBorders>
              <w:top w:val="nil"/>
              <w:left w:val="nil"/>
              <w:bottom w:val="single" w:color="auto" w:sz="4" w:space="0"/>
              <w:right w:val="single" w:color="000000" w:sz="4" w:space="0"/>
            </w:tcBorders>
            <w:noWrap w:val="0"/>
            <w:vAlign w:val="center"/>
          </w:tcPr>
          <w:p w14:paraId="1FED628D">
            <w:pPr>
              <w:widowControl/>
              <w:spacing w:line="360" w:lineRule="auto"/>
              <w:ind w:left="15" w:leftChars="-51" w:hanging="122" w:hangingChars="51"/>
              <w:jc w:val="left"/>
              <w:rPr>
                <w:rFonts w:hint="eastAsia" w:ascii="宋体" w:hAnsi="宋体" w:cs="宋体"/>
                <w:color w:val="auto"/>
                <w:sz w:val="24"/>
                <w:szCs w:val="22"/>
              </w:rPr>
            </w:pPr>
            <w:r>
              <w:rPr>
                <w:rFonts w:hint="eastAsia" w:ascii="宋体" w:hAnsi="宋体" w:cs="宋体"/>
                <w:color w:val="auto"/>
                <w:sz w:val="24"/>
                <w:szCs w:val="22"/>
              </w:rPr>
              <w:t>1、本次招标实行资格后审；</w:t>
            </w:r>
          </w:p>
          <w:p w14:paraId="377C7DB1">
            <w:pPr>
              <w:widowControl/>
              <w:spacing w:line="360" w:lineRule="auto"/>
              <w:ind w:left="15" w:leftChars="-51" w:hanging="122" w:hangingChars="51"/>
              <w:jc w:val="left"/>
              <w:rPr>
                <w:rFonts w:hint="eastAsia" w:ascii="宋体" w:hAnsi="宋体" w:cs="宋体"/>
                <w:color w:val="auto"/>
                <w:sz w:val="24"/>
                <w:szCs w:val="22"/>
              </w:rPr>
            </w:pPr>
            <w:r>
              <w:rPr>
                <w:rFonts w:hint="eastAsia" w:ascii="宋体" w:hAnsi="宋体" w:cs="宋体"/>
                <w:color w:val="auto"/>
                <w:sz w:val="24"/>
                <w:szCs w:val="22"/>
              </w:rPr>
              <w:t>2、本项目不接受联合体投标；</w:t>
            </w:r>
          </w:p>
          <w:p w14:paraId="289E7195">
            <w:pPr>
              <w:widowControl/>
              <w:spacing w:line="360" w:lineRule="auto"/>
              <w:ind w:left="15" w:leftChars="-51" w:hanging="122" w:hangingChars="51"/>
              <w:jc w:val="left"/>
              <w:rPr>
                <w:rFonts w:hint="eastAsia" w:ascii="宋体" w:hAnsi="宋体" w:cs="宋体"/>
                <w:color w:val="auto"/>
                <w:sz w:val="24"/>
                <w:szCs w:val="22"/>
              </w:rPr>
            </w:pPr>
            <w:r>
              <w:rPr>
                <w:rFonts w:hint="eastAsia" w:ascii="宋体" w:hAnsi="宋体" w:cs="宋体"/>
                <w:color w:val="auto"/>
                <w:sz w:val="24"/>
                <w:szCs w:val="22"/>
              </w:rPr>
              <w:t>3、</w:t>
            </w:r>
            <w:r>
              <w:rPr>
                <w:rFonts w:hint="eastAsia" w:ascii="宋体" w:hAnsi="宋体" w:cs="宋体"/>
                <w:color w:val="auto"/>
                <w:sz w:val="24"/>
                <w:szCs w:val="22"/>
                <w:lang w:val="zh-TW" w:eastAsia="zh-TW"/>
              </w:rPr>
              <w:t>招标文件要求的其他资格审查资料</w:t>
            </w:r>
          </w:p>
        </w:tc>
      </w:tr>
      <w:tr w14:paraId="6B97E67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756" w:type="dxa"/>
            <w:vMerge w:val="restart"/>
            <w:tcBorders>
              <w:top w:val="single" w:color="auto" w:sz="4" w:space="0"/>
              <w:left w:val="single" w:color="auto" w:sz="4" w:space="0"/>
              <w:right w:val="single" w:color="000000" w:sz="4" w:space="0"/>
            </w:tcBorders>
            <w:noWrap w:val="0"/>
            <w:vAlign w:val="center"/>
          </w:tcPr>
          <w:p w14:paraId="17E2E57B">
            <w:pPr>
              <w:autoSpaceDE w:val="0"/>
              <w:autoSpaceDN w:val="0"/>
              <w:spacing w:line="320" w:lineRule="exact"/>
              <w:jc w:val="center"/>
              <w:rPr>
                <w:rFonts w:hint="eastAsia" w:ascii="宋体" w:hAnsi="宋体" w:cs="宋体"/>
                <w:color w:val="auto"/>
                <w:kern w:val="0"/>
                <w:sz w:val="22"/>
                <w:szCs w:val="21"/>
              </w:rPr>
            </w:pPr>
            <w:r>
              <w:rPr>
                <w:rFonts w:hint="eastAsia" w:ascii="宋体" w:hAnsi="宋体" w:cs="宋体"/>
                <w:color w:val="auto"/>
                <w:kern w:val="0"/>
                <w:sz w:val="24"/>
                <w:szCs w:val="22"/>
              </w:rPr>
              <w:t>1.3</w:t>
            </w:r>
          </w:p>
        </w:tc>
        <w:tc>
          <w:tcPr>
            <w:tcW w:w="920" w:type="dxa"/>
            <w:gridSpan w:val="2"/>
            <w:vMerge w:val="restart"/>
            <w:tcBorders>
              <w:top w:val="single" w:color="auto" w:sz="4" w:space="0"/>
              <w:left w:val="nil"/>
              <w:right w:val="single" w:color="auto" w:sz="4" w:space="0"/>
            </w:tcBorders>
            <w:noWrap w:val="0"/>
            <w:vAlign w:val="center"/>
          </w:tcPr>
          <w:p w14:paraId="00D5E98C">
            <w:pPr>
              <w:autoSpaceDE w:val="0"/>
              <w:autoSpaceDN w:val="0"/>
              <w:spacing w:line="320" w:lineRule="exact"/>
              <w:jc w:val="center"/>
              <w:rPr>
                <w:rFonts w:hint="eastAsia" w:ascii="宋体" w:hAnsi="宋体" w:cs="宋体"/>
                <w:color w:val="auto"/>
                <w:kern w:val="0"/>
                <w:sz w:val="24"/>
                <w:szCs w:val="22"/>
              </w:rPr>
            </w:pPr>
            <w:r>
              <w:rPr>
                <w:rFonts w:hint="eastAsia" w:ascii="宋体" w:hAnsi="宋体" w:cs="宋体"/>
                <w:color w:val="auto"/>
                <w:kern w:val="0"/>
                <w:sz w:val="24"/>
                <w:szCs w:val="22"/>
              </w:rPr>
              <w:t>实质性响应</w:t>
            </w:r>
          </w:p>
          <w:p w14:paraId="32AB8B8D">
            <w:pPr>
              <w:autoSpaceDE w:val="0"/>
              <w:autoSpaceDN w:val="0"/>
              <w:spacing w:line="320" w:lineRule="exact"/>
              <w:jc w:val="center"/>
              <w:rPr>
                <w:rFonts w:hint="eastAsia" w:ascii="宋体" w:hAnsi="宋体" w:cs="宋体"/>
                <w:color w:val="auto"/>
                <w:kern w:val="0"/>
                <w:sz w:val="22"/>
                <w:szCs w:val="21"/>
              </w:rPr>
            </w:pPr>
            <w:r>
              <w:rPr>
                <w:rFonts w:hint="eastAsia" w:ascii="宋体" w:hAnsi="宋体" w:cs="宋体"/>
                <w:color w:val="auto"/>
                <w:kern w:val="0"/>
                <w:sz w:val="24"/>
                <w:szCs w:val="22"/>
              </w:rPr>
              <w:t>评审标准</w:t>
            </w:r>
          </w:p>
        </w:tc>
        <w:tc>
          <w:tcPr>
            <w:tcW w:w="1672" w:type="dxa"/>
            <w:gridSpan w:val="2"/>
            <w:tcBorders>
              <w:top w:val="single" w:color="auto" w:sz="4" w:space="0"/>
              <w:left w:val="single" w:color="auto" w:sz="4" w:space="0"/>
              <w:bottom w:val="single" w:color="000000" w:sz="4" w:space="0"/>
              <w:right w:val="single" w:color="000000" w:sz="4" w:space="0"/>
            </w:tcBorders>
            <w:noWrap w:val="0"/>
            <w:vAlign w:val="center"/>
          </w:tcPr>
          <w:p w14:paraId="5F1931EB">
            <w:pPr>
              <w:ind w:left="15" w:leftChars="-51" w:hanging="122" w:hangingChars="51"/>
              <w:jc w:val="center"/>
              <w:rPr>
                <w:rFonts w:hint="eastAsia" w:ascii="宋体" w:hAnsi="宋体" w:eastAsia="宋体" w:cs="宋体"/>
                <w:color w:val="auto"/>
                <w:sz w:val="24"/>
                <w:szCs w:val="28"/>
                <w:lang w:eastAsia="zh-CN"/>
              </w:rPr>
            </w:pPr>
            <w:r>
              <w:rPr>
                <w:rFonts w:hint="eastAsia" w:ascii="宋体" w:hAnsi="宋体" w:eastAsia="宋体" w:cs="宋体"/>
                <w:color w:val="auto"/>
                <w:sz w:val="24"/>
                <w:szCs w:val="28"/>
                <w:lang w:val="en-US" w:eastAsia="zh-CN"/>
              </w:rPr>
              <w:t>供货期</w:t>
            </w:r>
          </w:p>
        </w:tc>
        <w:tc>
          <w:tcPr>
            <w:tcW w:w="6821" w:type="dxa"/>
            <w:tcBorders>
              <w:top w:val="single" w:color="auto" w:sz="4" w:space="0"/>
              <w:left w:val="nil"/>
              <w:bottom w:val="single" w:color="000000" w:sz="4" w:space="0"/>
              <w:right w:val="single" w:color="000000" w:sz="4" w:space="0"/>
            </w:tcBorders>
            <w:noWrap w:val="0"/>
            <w:vAlign w:val="center"/>
          </w:tcPr>
          <w:p w14:paraId="0CDF6541">
            <w:pPr>
              <w:ind w:left="15" w:leftChars="-51" w:hanging="122" w:hangingChars="51"/>
              <w:jc w:val="both"/>
              <w:rPr>
                <w:rFonts w:hint="eastAsia" w:ascii="宋体" w:hAnsi="宋体" w:cs="宋体"/>
                <w:color w:val="auto"/>
                <w:sz w:val="24"/>
                <w:szCs w:val="28"/>
              </w:rPr>
            </w:pPr>
            <w:r>
              <w:rPr>
                <w:rFonts w:hint="eastAsia" w:ascii="宋体" w:hAnsi="宋体" w:cs="宋体"/>
                <w:color w:val="auto"/>
                <w:sz w:val="24"/>
                <w:szCs w:val="28"/>
              </w:rPr>
              <w:t>符合第二章“供应商须知”要求</w:t>
            </w:r>
          </w:p>
        </w:tc>
      </w:tr>
      <w:tr w14:paraId="073691A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6E11E5A7">
            <w:pPr>
              <w:widowControl/>
              <w:jc w:val="left"/>
              <w:rPr>
                <w:rFonts w:hint="eastAsia" w:ascii="宋体" w:hAnsi="宋体" w:cs="宋体"/>
                <w:color w:val="auto"/>
                <w:kern w:val="0"/>
                <w:sz w:val="22"/>
                <w:szCs w:val="21"/>
              </w:rPr>
            </w:pPr>
          </w:p>
        </w:tc>
        <w:tc>
          <w:tcPr>
            <w:tcW w:w="920" w:type="dxa"/>
            <w:gridSpan w:val="2"/>
            <w:vMerge w:val="continue"/>
            <w:tcBorders>
              <w:left w:val="nil"/>
              <w:right w:val="single" w:color="auto" w:sz="4" w:space="0"/>
            </w:tcBorders>
            <w:noWrap w:val="0"/>
            <w:vAlign w:val="center"/>
          </w:tcPr>
          <w:p w14:paraId="2E1278F8">
            <w:pPr>
              <w:widowControl/>
              <w:jc w:val="left"/>
              <w:rPr>
                <w:rFonts w:hint="eastAsia" w:ascii="宋体" w:hAnsi="宋体" w:cs="宋体"/>
                <w:color w:val="auto"/>
                <w:kern w:val="0"/>
                <w:sz w:val="22"/>
                <w:szCs w:val="21"/>
              </w:rPr>
            </w:pPr>
          </w:p>
        </w:tc>
        <w:tc>
          <w:tcPr>
            <w:tcW w:w="1672" w:type="dxa"/>
            <w:gridSpan w:val="2"/>
            <w:tcBorders>
              <w:top w:val="nil"/>
              <w:left w:val="single" w:color="auto" w:sz="4" w:space="0"/>
              <w:bottom w:val="single" w:color="000000" w:sz="4" w:space="0"/>
              <w:right w:val="single" w:color="000000" w:sz="4" w:space="0"/>
            </w:tcBorders>
            <w:noWrap w:val="0"/>
            <w:vAlign w:val="center"/>
          </w:tcPr>
          <w:p w14:paraId="622654BB">
            <w:pPr>
              <w:ind w:left="15" w:leftChars="-51" w:hanging="122" w:hangingChars="51"/>
              <w:jc w:val="center"/>
              <w:rPr>
                <w:rFonts w:hint="default" w:ascii="宋体" w:hAnsi="宋体" w:cs="宋体" w:eastAsiaTheme="minorEastAsia"/>
                <w:color w:val="auto"/>
                <w:sz w:val="24"/>
                <w:szCs w:val="28"/>
                <w:lang w:val="en-US" w:eastAsia="zh-CN"/>
              </w:rPr>
            </w:pPr>
            <w:r>
              <w:rPr>
                <w:rFonts w:hint="eastAsia" w:ascii="宋体" w:hAnsi="宋体" w:cs="宋体"/>
                <w:color w:val="auto"/>
                <w:sz w:val="24"/>
                <w:szCs w:val="28"/>
                <w:lang w:val="en-US" w:eastAsia="zh-CN"/>
              </w:rPr>
              <w:t>供货地点</w:t>
            </w:r>
          </w:p>
        </w:tc>
        <w:tc>
          <w:tcPr>
            <w:tcW w:w="6821" w:type="dxa"/>
            <w:tcBorders>
              <w:top w:val="nil"/>
              <w:left w:val="nil"/>
              <w:bottom w:val="single" w:color="000000" w:sz="4" w:space="0"/>
              <w:right w:val="single" w:color="000000" w:sz="4" w:space="0"/>
            </w:tcBorders>
            <w:noWrap w:val="0"/>
            <w:vAlign w:val="center"/>
          </w:tcPr>
          <w:p w14:paraId="6734C3FA">
            <w:pPr>
              <w:ind w:left="15" w:leftChars="-51" w:hanging="122" w:hangingChars="51"/>
              <w:jc w:val="both"/>
              <w:rPr>
                <w:rFonts w:hint="eastAsia" w:ascii="宋体" w:hAnsi="宋体" w:cs="宋体"/>
                <w:color w:val="auto"/>
                <w:sz w:val="24"/>
                <w:szCs w:val="28"/>
              </w:rPr>
            </w:pPr>
            <w:r>
              <w:rPr>
                <w:rFonts w:hint="eastAsia" w:ascii="宋体" w:hAnsi="宋体" w:cs="宋体"/>
                <w:color w:val="auto"/>
                <w:sz w:val="24"/>
                <w:szCs w:val="28"/>
              </w:rPr>
              <w:t>符合第二章“供应商须知”要求</w:t>
            </w:r>
          </w:p>
        </w:tc>
      </w:tr>
      <w:tr w14:paraId="20EEE35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3BFB43C7">
            <w:pPr>
              <w:widowControl/>
              <w:jc w:val="left"/>
              <w:rPr>
                <w:rFonts w:hint="eastAsia" w:ascii="宋体" w:hAnsi="宋体" w:cs="宋体"/>
                <w:color w:val="auto"/>
                <w:kern w:val="0"/>
                <w:sz w:val="22"/>
                <w:szCs w:val="21"/>
              </w:rPr>
            </w:pPr>
          </w:p>
        </w:tc>
        <w:tc>
          <w:tcPr>
            <w:tcW w:w="920" w:type="dxa"/>
            <w:gridSpan w:val="2"/>
            <w:vMerge w:val="continue"/>
            <w:tcBorders>
              <w:left w:val="nil"/>
              <w:right w:val="single" w:color="auto" w:sz="4" w:space="0"/>
            </w:tcBorders>
            <w:noWrap w:val="0"/>
            <w:vAlign w:val="center"/>
          </w:tcPr>
          <w:p w14:paraId="08BD46A9">
            <w:pPr>
              <w:widowControl/>
              <w:jc w:val="left"/>
              <w:rPr>
                <w:rFonts w:hint="eastAsia" w:ascii="宋体" w:hAnsi="宋体" w:cs="宋体"/>
                <w:color w:val="auto"/>
                <w:kern w:val="0"/>
                <w:sz w:val="22"/>
                <w:szCs w:val="21"/>
              </w:rPr>
            </w:pPr>
          </w:p>
        </w:tc>
        <w:tc>
          <w:tcPr>
            <w:tcW w:w="1672" w:type="dxa"/>
            <w:gridSpan w:val="2"/>
            <w:tcBorders>
              <w:top w:val="nil"/>
              <w:left w:val="single" w:color="auto" w:sz="4" w:space="0"/>
              <w:bottom w:val="single" w:color="000000" w:sz="4" w:space="0"/>
              <w:right w:val="single" w:color="000000" w:sz="4" w:space="0"/>
            </w:tcBorders>
            <w:noWrap w:val="0"/>
            <w:vAlign w:val="center"/>
          </w:tcPr>
          <w:p w14:paraId="2B71438C">
            <w:pPr>
              <w:ind w:left="15" w:leftChars="-51" w:hanging="122" w:hangingChars="51"/>
              <w:jc w:val="center"/>
              <w:rPr>
                <w:rFonts w:hint="eastAsia" w:ascii="宋体" w:hAnsi="宋体" w:cs="宋体"/>
                <w:color w:val="auto"/>
                <w:sz w:val="24"/>
                <w:szCs w:val="28"/>
              </w:rPr>
            </w:pPr>
            <w:r>
              <w:rPr>
                <w:rFonts w:hint="eastAsia" w:ascii="宋体" w:hAnsi="宋体" w:cs="宋体"/>
                <w:color w:val="auto"/>
                <w:sz w:val="24"/>
                <w:szCs w:val="28"/>
              </w:rPr>
              <w:t>质量要求</w:t>
            </w:r>
          </w:p>
        </w:tc>
        <w:tc>
          <w:tcPr>
            <w:tcW w:w="6821" w:type="dxa"/>
            <w:tcBorders>
              <w:top w:val="nil"/>
              <w:left w:val="nil"/>
              <w:bottom w:val="single" w:color="000000" w:sz="4" w:space="0"/>
              <w:right w:val="single" w:color="000000" w:sz="4" w:space="0"/>
            </w:tcBorders>
            <w:noWrap w:val="0"/>
            <w:vAlign w:val="center"/>
          </w:tcPr>
          <w:p w14:paraId="28568B94">
            <w:pPr>
              <w:ind w:left="15" w:leftChars="-51" w:hanging="122" w:hangingChars="51"/>
              <w:jc w:val="both"/>
              <w:rPr>
                <w:rFonts w:hint="eastAsia" w:ascii="宋体" w:hAnsi="宋体" w:cs="宋体"/>
                <w:color w:val="auto"/>
                <w:sz w:val="24"/>
                <w:szCs w:val="28"/>
              </w:rPr>
            </w:pPr>
            <w:r>
              <w:rPr>
                <w:rFonts w:hint="eastAsia" w:ascii="宋体" w:hAnsi="宋体" w:cs="宋体"/>
                <w:color w:val="auto"/>
                <w:sz w:val="24"/>
                <w:szCs w:val="28"/>
              </w:rPr>
              <w:t>符合第二章“供应商须知”要求</w:t>
            </w:r>
          </w:p>
        </w:tc>
      </w:tr>
      <w:tr w14:paraId="61D57A7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756" w:type="dxa"/>
            <w:vMerge w:val="continue"/>
            <w:tcBorders>
              <w:left w:val="single" w:color="auto" w:sz="4" w:space="0"/>
              <w:right w:val="single" w:color="000000" w:sz="4" w:space="0"/>
            </w:tcBorders>
            <w:noWrap w:val="0"/>
            <w:vAlign w:val="center"/>
          </w:tcPr>
          <w:p w14:paraId="15CDFFC3">
            <w:pPr>
              <w:widowControl/>
              <w:jc w:val="left"/>
              <w:rPr>
                <w:rFonts w:hint="eastAsia" w:ascii="宋体" w:hAnsi="宋体" w:cs="宋体"/>
                <w:color w:val="auto"/>
                <w:kern w:val="0"/>
                <w:sz w:val="22"/>
                <w:szCs w:val="21"/>
              </w:rPr>
            </w:pPr>
          </w:p>
        </w:tc>
        <w:tc>
          <w:tcPr>
            <w:tcW w:w="920" w:type="dxa"/>
            <w:gridSpan w:val="2"/>
            <w:vMerge w:val="continue"/>
            <w:tcBorders>
              <w:left w:val="nil"/>
              <w:right w:val="single" w:color="auto" w:sz="4" w:space="0"/>
            </w:tcBorders>
            <w:noWrap w:val="0"/>
            <w:vAlign w:val="center"/>
          </w:tcPr>
          <w:p w14:paraId="663CCF4C">
            <w:pPr>
              <w:widowControl/>
              <w:jc w:val="left"/>
              <w:rPr>
                <w:rFonts w:hint="eastAsia" w:ascii="宋体" w:hAnsi="宋体" w:cs="宋体"/>
                <w:color w:val="auto"/>
                <w:kern w:val="0"/>
                <w:sz w:val="22"/>
                <w:szCs w:val="21"/>
              </w:rPr>
            </w:pPr>
          </w:p>
        </w:tc>
        <w:tc>
          <w:tcPr>
            <w:tcW w:w="1672" w:type="dxa"/>
            <w:gridSpan w:val="2"/>
            <w:tcBorders>
              <w:top w:val="nil"/>
              <w:left w:val="single" w:color="auto" w:sz="4" w:space="0"/>
              <w:bottom w:val="single" w:color="000000" w:sz="4" w:space="0"/>
              <w:right w:val="single" w:color="000000" w:sz="4" w:space="0"/>
            </w:tcBorders>
            <w:noWrap w:val="0"/>
            <w:vAlign w:val="center"/>
          </w:tcPr>
          <w:p w14:paraId="77ED79B0">
            <w:pPr>
              <w:ind w:left="15" w:leftChars="-51" w:hanging="122" w:hangingChars="51"/>
              <w:jc w:val="center"/>
              <w:rPr>
                <w:rFonts w:hint="eastAsia" w:ascii="宋体" w:hAnsi="宋体" w:cs="宋体"/>
                <w:color w:val="auto"/>
                <w:sz w:val="24"/>
                <w:szCs w:val="28"/>
              </w:rPr>
            </w:pPr>
            <w:r>
              <w:rPr>
                <w:rFonts w:hint="eastAsia" w:ascii="宋体" w:hAnsi="宋体" w:cs="宋体"/>
                <w:color w:val="auto"/>
                <w:sz w:val="24"/>
                <w:szCs w:val="28"/>
              </w:rPr>
              <w:t>投标有效期</w:t>
            </w:r>
          </w:p>
        </w:tc>
        <w:tc>
          <w:tcPr>
            <w:tcW w:w="6821" w:type="dxa"/>
            <w:tcBorders>
              <w:top w:val="nil"/>
              <w:left w:val="nil"/>
              <w:bottom w:val="single" w:color="000000" w:sz="4" w:space="0"/>
              <w:right w:val="single" w:color="000000" w:sz="4" w:space="0"/>
            </w:tcBorders>
            <w:noWrap w:val="0"/>
            <w:vAlign w:val="center"/>
          </w:tcPr>
          <w:p w14:paraId="73BD5F03">
            <w:pPr>
              <w:ind w:left="15" w:leftChars="-51" w:hanging="122" w:hangingChars="51"/>
              <w:jc w:val="both"/>
              <w:rPr>
                <w:rFonts w:hint="eastAsia" w:ascii="宋体" w:hAnsi="宋体" w:cs="宋体"/>
                <w:color w:val="auto"/>
                <w:sz w:val="24"/>
                <w:szCs w:val="28"/>
              </w:rPr>
            </w:pPr>
            <w:r>
              <w:rPr>
                <w:rFonts w:hint="eastAsia" w:ascii="宋体" w:hAnsi="宋体" w:cs="宋体"/>
                <w:color w:val="auto"/>
                <w:sz w:val="24"/>
                <w:szCs w:val="28"/>
              </w:rPr>
              <w:t>符合第二章“供应商须知”要求</w:t>
            </w:r>
          </w:p>
        </w:tc>
      </w:tr>
      <w:tr w14:paraId="260F645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16" w:hRule="atLeast"/>
          <w:jc w:val="center"/>
        </w:trPr>
        <w:tc>
          <w:tcPr>
            <w:tcW w:w="756" w:type="dxa"/>
            <w:vMerge w:val="continue"/>
            <w:tcBorders>
              <w:left w:val="single" w:color="auto" w:sz="4" w:space="0"/>
              <w:right w:val="single" w:color="000000" w:sz="4" w:space="0"/>
            </w:tcBorders>
            <w:noWrap w:val="0"/>
            <w:vAlign w:val="center"/>
          </w:tcPr>
          <w:p w14:paraId="7D88AE02">
            <w:pPr>
              <w:widowControl/>
              <w:jc w:val="left"/>
              <w:rPr>
                <w:rFonts w:hint="eastAsia" w:ascii="宋体" w:hAnsi="宋体" w:cs="宋体"/>
                <w:color w:val="auto"/>
                <w:kern w:val="0"/>
                <w:sz w:val="22"/>
                <w:szCs w:val="21"/>
              </w:rPr>
            </w:pPr>
          </w:p>
        </w:tc>
        <w:tc>
          <w:tcPr>
            <w:tcW w:w="920" w:type="dxa"/>
            <w:gridSpan w:val="2"/>
            <w:vMerge w:val="continue"/>
            <w:tcBorders>
              <w:left w:val="nil"/>
              <w:right w:val="single" w:color="auto" w:sz="4" w:space="0"/>
            </w:tcBorders>
            <w:noWrap w:val="0"/>
            <w:vAlign w:val="center"/>
          </w:tcPr>
          <w:p w14:paraId="790ECD7E">
            <w:pPr>
              <w:widowControl/>
              <w:jc w:val="left"/>
              <w:rPr>
                <w:rFonts w:hint="eastAsia" w:ascii="宋体" w:hAnsi="宋体" w:cs="宋体"/>
                <w:color w:val="auto"/>
                <w:kern w:val="0"/>
                <w:sz w:val="22"/>
                <w:szCs w:val="21"/>
              </w:rPr>
            </w:pPr>
          </w:p>
        </w:tc>
        <w:tc>
          <w:tcPr>
            <w:tcW w:w="1672" w:type="dxa"/>
            <w:gridSpan w:val="2"/>
            <w:tcBorders>
              <w:top w:val="single" w:color="auto" w:sz="4" w:space="0"/>
              <w:left w:val="single" w:color="auto" w:sz="4" w:space="0"/>
              <w:bottom w:val="single" w:color="auto" w:sz="4" w:space="0"/>
              <w:right w:val="single" w:color="000000" w:sz="4" w:space="0"/>
            </w:tcBorders>
            <w:noWrap w:val="0"/>
            <w:vAlign w:val="center"/>
          </w:tcPr>
          <w:p w14:paraId="17BE7A13">
            <w:pPr>
              <w:ind w:left="15" w:leftChars="-51" w:hanging="122" w:hangingChars="51"/>
              <w:jc w:val="center"/>
              <w:rPr>
                <w:rFonts w:hint="default" w:ascii="宋体" w:hAnsi="宋体" w:eastAsia="宋体" w:cs="宋体"/>
                <w:color w:val="auto"/>
                <w:sz w:val="24"/>
                <w:szCs w:val="28"/>
                <w:lang w:val="en-US" w:eastAsia="zh-CN"/>
              </w:rPr>
            </w:pPr>
            <w:r>
              <w:rPr>
                <w:rFonts w:hint="eastAsia" w:ascii="宋体" w:hAnsi="宋体" w:cs="宋体"/>
                <w:color w:val="auto"/>
                <w:sz w:val="24"/>
                <w:szCs w:val="28"/>
                <w:lang w:val="en-US" w:eastAsia="zh-CN"/>
              </w:rPr>
              <w:t>投标内容</w:t>
            </w:r>
          </w:p>
        </w:tc>
        <w:tc>
          <w:tcPr>
            <w:tcW w:w="6821" w:type="dxa"/>
            <w:tcBorders>
              <w:top w:val="single" w:color="auto" w:sz="4" w:space="0"/>
              <w:left w:val="nil"/>
              <w:bottom w:val="single" w:color="auto" w:sz="4" w:space="0"/>
              <w:right w:val="single" w:color="000000" w:sz="4" w:space="0"/>
            </w:tcBorders>
            <w:noWrap w:val="0"/>
            <w:vAlign w:val="center"/>
          </w:tcPr>
          <w:p w14:paraId="40D909F9">
            <w:pPr>
              <w:ind w:left="15" w:leftChars="-51" w:hanging="122" w:hangingChars="51"/>
              <w:jc w:val="both"/>
              <w:rPr>
                <w:rFonts w:hint="eastAsia" w:ascii="宋体" w:hAnsi="宋体" w:cs="宋体"/>
                <w:color w:val="auto"/>
                <w:sz w:val="24"/>
                <w:szCs w:val="28"/>
              </w:rPr>
            </w:pPr>
            <w:r>
              <w:rPr>
                <w:rFonts w:hint="eastAsia" w:ascii="宋体" w:hAnsi="宋体" w:cs="宋体"/>
                <w:color w:val="auto"/>
                <w:sz w:val="24"/>
                <w:szCs w:val="28"/>
              </w:rPr>
              <w:t>符合第</w:t>
            </w:r>
            <w:r>
              <w:rPr>
                <w:rFonts w:hint="eastAsia" w:ascii="宋体" w:hAnsi="宋体" w:cs="宋体"/>
                <w:color w:val="auto"/>
                <w:sz w:val="24"/>
                <w:szCs w:val="28"/>
                <w:lang w:val="en-US" w:eastAsia="zh-CN"/>
              </w:rPr>
              <w:t>三</w:t>
            </w:r>
            <w:r>
              <w:rPr>
                <w:rFonts w:hint="eastAsia" w:ascii="宋体" w:hAnsi="宋体" w:cs="宋体"/>
                <w:color w:val="auto"/>
                <w:sz w:val="24"/>
                <w:szCs w:val="28"/>
              </w:rPr>
              <w:t>章“采购</w:t>
            </w:r>
            <w:r>
              <w:rPr>
                <w:rFonts w:hint="eastAsia" w:ascii="宋体" w:hAnsi="宋体" w:cs="宋体"/>
                <w:color w:val="auto"/>
                <w:sz w:val="24"/>
                <w:szCs w:val="28"/>
                <w:lang w:val="en-US" w:eastAsia="zh-CN"/>
              </w:rPr>
              <w:t>需求</w:t>
            </w:r>
            <w:r>
              <w:rPr>
                <w:rFonts w:hint="eastAsia" w:ascii="宋体" w:hAnsi="宋体" w:cs="宋体"/>
                <w:color w:val="auto"/>
                <w:sz w:val="24"/>
                <w:szCs w:val="28"/>
              </w:rPr>
              <w:t>”规定</w:t>
            </w:r>
          </w:p>
        </w:tc>
      </w:tr>
      <w:tr w14:paraId="1C18131A">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16"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23907B4B">
            <w:pPr>
              <w:widowControl/>
              <w:jc w:val="left"/>
              <w:rPr>
                <w:rFonts w:hint="eastAsia" w:ascii="宋体" w:hAnsi="宋体" w:cs="宋体"/>
                <w:color w:val="auto"/>
                <w:kern w:val="0"/>
                <w:sz w:val="22"/>
                <w:szCs w:val="21"/>
              </w:rPr>
            </w:pPr>
          </w:p>
        </w:tc>
        <w:tc>
          <w:tcPr>
            <w:tcW w:w="920" w:type="dxa"/>
            <w:gridSpan w:val="2"/>
            <w:vMerge w:val="continue"/>
            <w:tcBorders>
              <w:left w:val="nil"/>
              <w:bottom w:val="single" w:color="auto" w:sz="4" w:space="0"/>
              <w:right w:val="single" w:color="auto" w:sz="4" w:space="0"/>
            </w:tcBorders>
            <w:noWrap w:val="0"/>
            <w:vAlign w:val="center"/>
          </w:tcPr>
          <w:p w14:paraId="1693D60C">
            <w:pPr>
              <w:widowControl/>
              <w:jc w:val="left"/>
              <w:rPr>
                <w:rFonts w:hint="eastAsia" w:ascii="宋体" w:hAnsi="宋体" w:cs="宋体"/>
                <w:color w:val="auto"/>
                <w:kern w:val="0"/>
                <w:sz w:val="22"/>
                <w:szCs w:val="21"/>
              </w:rPr>
            </w:pPr>
          </w:p>
        </w:tc>
        <w:tc>
          <w:tcPr>
            <w:tcW w:w="1672" w:type="dxa"/>
            <w:gridSpan w:val="2"/>
            <w:tcBorders>
              <w:top w:val="single" w:color="auto" w:sz="4" w:space="0"/>
              <w:left w:val="single" w:color="auto" w:sz="4" w:space="0"/>
              <w:bottom w:val="single" w:color="auto" w:sz="4" w:space="0"/>
              <w:right w:val="single" w:color="000000" w:sz="4" w:space="0"/>
            </w:tcBorders>
            <w:noWrap w:val="0"/>
            <w:vAlign w:val="center"/>
          </w:tcPr>
          <w:p w14:paraId="4A4E791C">
            <w:pPr>
              <w:ind w:left="15" w:leftChars="-51" w:hanging="122" w:hangingChars="51"/>
              <w:jc w:val="center"/>
              <w:rPr>
                <w:rFonts w:hint="eastAsia" w:ascii="宋体" w:hAnsi="宋体" w:cs="宋体"/>
                <w:color w:val="auto"/>
                <w:sz w:val="24"/>
                <w:szCs w:val="28"/>
              </w:rPr>
            </w:pPr>
            <w:r>
              <w:rPr>
                <w:rFonts w:hint="eastAsia" w:ascii="宋体" w:hAnsi="宋体" w:cs="宋体"/>
                <w:color w:val="auto"/>
                <w:sz w:val="24"/>
                <w:szCs w:val="28"/>
              </w:rPr>
              <w:t>其他规定内容</w:t>
            </w:r>
          </w:p>
        </w:tc>
        <w:tc>
          <w:tcPr>
            <w:tcW w:w="6821" w:type="dxa"/>
            <w:tcBorders>
              <w:top w:val="single" w:color="auto" w:sz="4" w:space="0"/>
              <w:left w:val="nil"/>
              <w:bottom w:val="single" w:color="auto" w:sz="4" w:space="0"/>
              <w:right w:val="single" w:color="000000" w:sz="4" w:space="0"/>
            </w:tcBorders>
            <w:noWrap w:val="0"/>
            <w:vAlign w:val="center"/>
          </w:tcPr>
          <w:p w14:paraId="1153173B">
            <w:pPr>
              <w:ind w:left="15" w:leftChars="-51" w:hanging="122" w:hangingChars="51"/>
              <w:jc w:val="both"/>
              <w:rPr>
                <w:rFonts w:hint="eastAsia" w:ascii="宋体" w:hAnsi="宋体" w:cs="宋体"/>
                <w:color w:val="auto"/>
                <w:sz w:val="24"/>
                <w:szCs w:val="28"/>
              </w:rPr>
            </w:pPr>
            <w:r>
              <w:rPr>
                <w:rFonts w:hint="eastAsia" w:ascii="宋体" w:hAnsi="宋体" w:cs="宋体"/>
                <w:color w:val="auto"/>
                <w:sz w:val="24"/>
                <w:szCs w:val="28"/>
              </w:rPr>
              <w:t>符合招标文件要求</w:t>
            </w:r>
          </w:p>
        </w:tc>
      </w:tr>
      <w:tr w14:paraId="020B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169" w:type="dxa"/>
            <w:gridSpan w:val="6"/>
            <w:tcBorders>
              <w:top w:val="single" w:color="auto" w:sz="4" w:space="0"/>
              <w:left w:val="single" w:color="auto" w:sz="4" w:space="0"/>
              <w:bottom w:val="single" w:color="auto" w:sz="4" w:space="0"/>
              <w:right w:val="single" w:color="auto" w:sz="4" w:space="0"/>
            </w:tcBorders>
            <w:noWrap w:val="0"/>
            <w:vAlign w:val="center"/>
          </w:tcPr>
          <w:p w14:paraId="6A4787EE">
            <w:pPr>
              <w:spacing w:line="276" w:lineRule="auto"/>
              <w:jc w:val="left"/>
              <w:rPr>
                <w:rFonts w:hint="eastAsia" w:ascii="宋体" w:hAnsi="宋体" w:cs="宋体"/>
                <w:b/>
                <w:color w:val="auto"/>
                <w:sz w:val="24"/>
              </w:rPr>
            </w:pPr>
            <w:r>
              <w:rPr>
                <w:rFonts w:hint="eastAsia" w:ascii="宋体" w:hAnsi="宋体" w:cs="宋体"/>
                <w:b/>
                <w:bCs/>
                <w:color w:val="auto"/>
                <w:sz w:val="24"/>
              </w:rPr>
              <w:t>应中华人民共和国财政部令第87号《政府采购货物和服务招标投标管理办法》第四十四条</w:t>
            </w:r>
            <w:r>
              <w:rPr>
                <w:rFonts w:hint="eastAsia" w:ascii="宋体" w:hAnsi="宋体" w:cs="宋体"/>
                <w:b/>
                <w:color w:val="auto"/>
                <w:sz w:val="24"/>
              </w:rPr>
              <w:t>公开招标采购项目开标结束后，</w:t>
            </w:r>
            <w:r>
              <w:rPr>
                <w:rFonts w:hint="eastAsia" w:ascii="宋体" w:hAnsi="宋体" w:cs="宋体"/>
                <w:b/>
                <w:color w:val="auto"/>
                <w:sz w:val="24"/>
                <w:lang w:eastAsia="zh-CN"/>
              </w:rPr>
              <w:t>采购人</w:t>
            </w:r>
            <w:r>
              <w:rPr>
                <w:rFonts w:hint="eastAsia" w:ascii="宋体" w:hAnsi="宋体" w:cs="宋体"/>
                <w:b/>
                <w:color w:val="auto"/>
                <w:sz w:val="24"/>
              </w:rPr>
              <w:t>或者采购代理机构应当依法对投标供应商的资格进行审查。合格投标供应商不足3家的，不得评标。</w:t>
            </w:r>
          </w:p>
          <w:p w14:paraId="533D4C90">
            <w:pPr>
              <w:autoSpaceDE w:val="0"/>
              <w:autoSpaceDN w:val="0"/>
              <w:spacing w:line="360" w:lineRule="auto"/>
              <w:jc w:val="left"/>
              <w:rPr>
                <w:rFonts w:hint="eastAsia" w:ascii="宋体" w:hAnsi="宋体" w:cs="宋体"/>
                <w:color w:val="auto"/>
                <w:szCs w:val="21"/>
              </w:rPr>
            </w:pPr>
            <w:r>
              <w:rPr>
                <w:rFonts w:hint="eastAsia" w:ascii="宋体" w:hAnsi="宋体" w:cs="宋体"/>
                <w:b/>
                <w:color w:val="auto"/>
                <w:sz w:val="24"/>
              </w:rPr>
              <w:t>资格评审以投标文件为准，其上传资料真实性由投标人自行承担。</w:t>
            </w:r>
          </w:p>
        </w:tc>
      </w:tr>
      <w:tr w14:paraId="4E0D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971" w:type="dxa"/>
            <w:gridSpan w:val="4"/>
            <w:tcBorders>
              <w:top w:val="single" w:color="auto" w:sz="4" w:space="0"/>
              <w:left w:val="single" w:color="auto" w:sz="4" w:space="0"/>
              <w:bottom w:val="single" w:color="auto" w:sz="4" w:space="0"/>
              <w:right w:val="single" w:color="auto" w:sz="4" w:space="0"/>
            </w:tcBorders>
            <w:noWrap w:val="0"/>
            <w:vAlign w:val="center"/>
          </w:tcPr>
          <w:p w14:paraId="29176AB0">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条款内容</w:t>
            </w:r>
          </w:p>
        </w:tc>
        <w:tc>
          <w:tcPr>
            <w:tcW w:w="7198" w:type="dxa"/>
            <w:gridSpan w:val="2"/>
            <w:tcBorders>
              <w:top w:val="single" w:color="auto" w:sz="4" w:space="0"/>
              <w:left w:val="nil"/>
              <w:bottom w:val="single" w:color="auto" w:sz="4" w:space="0"/>
              <w:right w:val="single" w:color="auto" w:sz="4" w:space="0"/>
            </w:tcBorders>
            <w:noWrap w:val="0"/>
            <w:vAlign w:val="center"/>
          </w:tcPr>
          <w:p w14:paraId="0FBCB40E">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编列内容</w:t>
            </w:r>
          </w:p>
        </w:tc>
      </w:tr>
      <w:tr w14:paraId="1502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971" w:type="dxa"/>
            <w:gridSpan w:val="4"/>
            <w:tcBorders>
              <w:top w:val="single" w:color="auto" w:sz="4" w:space="0"/>
              <w:left w:val="single" w:color="auto" w:sz="4" w:space="0"/>
              <w:bottom w:val="single" w:color="auto" w:sz="4" w:space="0"/>
              <w:right w:val="single" w:color="auto" w:sz="4" w:space="0"/>
            </w:tcBorders>
            <w:noWrap w:val="0"/>
            <w:vAlign w:val="center"/>
          </w:tcPr>
          <w:p w14:paraId="763101E5">
            <w:pPr>
              <w:spacing w:line="360" w:lineRule="auto"/>
              <w:jc w:val="center"/>
              <w:rPr>
                <w:rFonts w:hint="eastAsia" w:ascii="宋体" w:hAnsi="宋体" w:cs="宋体"/>
                <w:color w:val="auto"/>
                <w:sz w:val="24"/>
              </w:rPr>
            </w:pPr>
            <w:r>
              <w:rPr>
                <w:rFonts w:hint="eastAsia" w:ascii="宋体" w:hAnsi="宋体" w:cs="宋体"/>
                <w:color w:val="auto"/>
                <w:sz w:val="24"/>
              </w:rPr>
              <w:t>分值构成（总分100分）</w:t>
            </w:r>
          </w:p>
        </w:tc>
        <w:tc>
          <w:tcPr>
            <w:tcW w:w="7198" w:type="dxa"/>
            <w:gridSpan w:val="2"/>
            <w:tcBorders>
              <w:top w:val="single" w:color="auto" w:sz="4" w:space="0"/>
              <w:left w:val="nil"/>
              <w:bottom w:val="single" w:color="auto" w:sz="4" w:space="0"/>
              <w:right w:val="single" w:color="auto" w:sz="4" w:space="0"/>
            </w:tcBorders>
            <w:noWrap w:val="0"/>
            <w:vAlign w:val="center"/>
          </w:tcPr>
          <w:p w14:paraId="61DA8391">
            <w:pPr>
              <w:adjustRightInd w:val="0"/>
              <w:snapToGrid w:val="0"/>
              <w:jc w:val="center"/>
              <w:rPr>
                <w:rFonts w:hint="eastAsia" w:ascii="宋体" w:hAnsi="宋体" w:cs="宋体"/>
                <w:color w:val="auto"/>
                <w:sz w:val="24"/>
              </w:rPr>
            </w:pPr>
            <w:r>
              <w:rPr>
                <w:rFonts w:hint="eastAsia" w:ascii="宋体" w:hAnsi="宋体" w:cs="宋体"/>
                <w:color w:val="auto"/>
                <w:sz w:val="24"/>
              </w:rPr>
              <w:t>投标报价：30分</w:t>
            </w:r>
          </w:p>
          <w:p w14:paraId="38F3318D">
            <w:pPr>
              <w:adjustRightInd w:val="0"/>
              <w:snapToGrid w:val="0"/>
              <w:jc w:val="center"/>
              <w:rPr>
                <w:rFonts w:hint="eastAsia" w:ascii="宋体" w:hAnsi="宋体" w:cs="宋体"/>
                <w:color w:val="auto"/>
                <w:sz w:val="24"/>
              </w:rPr>
            </w:pPr>
            <w:r>
              <w:rPr>
                <w:rFonts w:hint="eastAsia" w:ascii="宋体" w:hAnsi="宋体" w:cs="宋体"/>
                <w:color w:val="auto"/>
                <w:sz w:val="24"/>
              </w:rPr>
              <w:t>技术部分：5</w:t>
            </w:r>
            <w:r>
              <w:rPr>
                <w:rFonts w:hint="eastAsia" w:ascii="宋体" w:hAnsi="宋体" w:cs="宋体"/>
                <w:color w:val="auto"/>
                <w:sz w:val="24"/>
                <w:lang w:val="en-US" w:eastAsia="zh-CN"/>
              </w:rPr>
              <w:t>0</w:t>
            </w:r>
            <w:r>
              <w:rPr>
                <w:rFonts w:hint="eastAsia" w:ascii="宋体" w:hAnsi="宋体" w:cs="宋体"/>
                <w:color w:val="auto"/>
                <w:sz w:val="24"/>
              </w:rPr>
              <w:t>分</w:t>
            </w:r>
          </w:p>
          <w:p w14:paraId="11680E33">
            <w:pPr>
              <w:adjustRightInd w:val="0"/>
              <w:snapToGrid w:val="0"/>
              <w:jc w:val="center"/>
              <w:rPr>
                <w:rFonts w:hint="eastAsia" w:ascii="宋体" w:hAnsi="宋体" w:cs="宋体"/>
                <w:color w:val="auto"/>
                <w:sz w:val="24"/>
              </w:rPr>
            </w:pPr>
            <w:r>
              <w:rPr>
                <w:rFonts w:hint="eastAsia" w:ascii="宋体" w:hAnsi="宋体" w:cs="宋体"/>
                <w:color w:val="auto"/>
                <w:sz w:val="24"/>
                <w:lang w:val="en-US" w:eastAsia="zh-CN"/>
              </w:rPr>
              <w:t>商务</w:t>
            </w:r>
            <w:r>
              <w:rPr>
                <w:rFonts w:hint="eastAsia" w:ascii="宋体" w:hAnsi="宋体" w:cs="宋体"/>
                <w:color w:val="auto"/>
                <w:sz w:val="24"/>
              </w:rPr>
              <w:t>部分：</w:t>
            </w:r>
            <w:r>
              <w:rPr>
                <w:rFonts w:hint="eastAsia" w:ascii="宋体" w:hAnsi="宋体" w:cs="宋体"/>
                <w:color w:val="auto"/>
                <w:sz w:val="24"/>
                <w:lang w:val="en-US" w:eastAsia="zh-CN"/>
              </w:rPr>
              <w:t>20</w:t>
            </w:r>
            <w:r>
              <w:rPr>
                <w:rFonts w:hint="eastAsia" w:ascii="宋体" w:hAnsi="宋体" w:cs="宋体"/>
                <w:color w:val="auto"/>
                <w:sz w:val="24"/>
              </w:rPr>
              <w:t>分</w:t>
            </w:r>
          </w:p>
        </w:tc>
      </w:tr>
      <w:tr w14:paraId="7724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71" w:type="dxa"/>
            <w:gridSpan w:val="4"/>
            <w:tcBorders>
              <w:top w:val="single" w:color="auto" w:sz="4" w:space="0"/>
              <w:left w:val="single" w:color="auto" w:sz="4" w:space="0"/>
              <w:bottom w:val="single" w:color="auto" w:sz="4" w:space="0"/>
              <w:right w:val="single" w:color="auto" w:sz="4" w:space="0"/>
            </w:tcBorders>
            <w:noWrap w:val="0"/>
            <w:vAlign w:val="center"/>
          </w:tcPr>
          <w:p w14:paraId="66BE06CC">
            <w:pPr>
              <w:spacing w:line="360" w:lineRule="auto"/>
              <w:jc w:val="center"/>
              <w:textAlignment w:val="baseline"/>
              <w:rPr>
                <w:rFonts w:hint="eastAsia" w:ascii="宋体" w:hAnsi="宋体" w:cs="宋体"/>
                <w:color w:val="auto"/>
                <w:sz w:val="24"/>
              </w:rPr>
            </w:pPr>
            <w:r>
              <w:rPr>
                <w:rFonts w:hint="eastAsia" w:ascii="宋体" w:hAnsi="宋体" w:cs="宋体"/>
                <w:color w:val="auto"/>
                <w:sz w:val="24"/>
              </w:rPr>
              <w:t>招标采购预算</w:t>
            </w:r>
          </w:p>
        </w:tc>
        <w:tc>
          <w:tcPr>
            <w:tcW w:w="7198" w:type="dxa"/>
            <w:gridSpan w:val="2"/>
            <w:tcBorders>
              <w:top w:val="single" w:color="auto" w:sz="4" w:space="0"/>
              <w:left w:val="nil"/>
              <w:bottom w:val="single" w:color="auto" w:sz="4" w:space="0"/>
              <w:right w:val="single" w:color="auto" w:sz="4" w:space="0"/>
            </w:tcBorders>
            <w:noWrap w:val="0"/>
            <w:vAlign w:val="center"/>
          </w:tcPr>
          <w:p w14:paraId="00C051E5">
            <w:pPr>
              <w:spacing w:line="360" w:lineRule="auto"/>
              <w:textAlignment w:val="baseline"/>
              <w:rPr>
                <w:rFonts w:hint="eastAsia" w:ascii="宋体" w:hAnsi="宋体" w:cs="宋体"/>
                <w:color w:val="auto"/>
                <w:sz w:val="24"/>
              </w:rPr>
            </w:pPr>
            <w:r>
              <w:rPr>
                <w:rFonts w:hint="eastAsia" w:ascii="宋体" w:hAnsi="宋体" w:cs="宋体"/>
                <w:color w:val="auto"/>
                <w:sz w:val="24"/>
              </w:rPr>
              <w:t>本项目设招标采购预算，投标人的投标总报价超出采购预算的</w:t>
            </w:r>
            <w:r>
              <w:rPr>
                <w:rFonts w:hint="eastAsia" w:ascii="宋体" w:hAnsi="宋体" w:cs="宋体"/>
                <w:color w:val="auto"/>
                <w:sz w:val="24"/>
                <w:lang w:eastAsia="zh-CN"/>
              </w:rPr>
              <w:t>采购人</w:t>
            </w:r>
            <w:r>
              <w:rPr>
                <w:rFonts w:hint="eastAsia" w:ascii="宋体" w:hAnsi="宋体" w:cs="宋体"/>
                <w:color w:val="auto"/>
                <w:sz w:val="24"/>
              </w:rPr>
              <w:t>不予接受且按无效标处理。</w:t>
            </w:r>
          </w:p>
        </w:tc>
      </w:tr>
      <w:tr w14:paraId="7A93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71" w:type="dxa"/>
            <w:gridSpan w:val="4"/>
            <w:tcBorders>
              <w:top w:val="single" w:color="auto" w:sz="4" w:space="0"/>
              <w:left w:val="single" w:color="auto" w:sz="4" w:space="0"/>
              <w:bottom w:val="single" w:color="auto" w:sz="4" w:space="0"/>
              <w:right w:val="single" w:color="auto" w:sz="4" w:space="0"/>
            </w:tcBorders>
            <w:noWrap w:val="0"/>
            <w:vAlign w:val="center"/>
          </w:tcPr>
          <w:p w14:paraId="6C948B55">
            <w:pPr>
              <w:spacing w:line="360" w:lineRule="auto"/>
              <w:jc w:val="center"/>
              <w:textAlignment w:val="baseline"/>
              <w:rPr>
                <w:rFonts w:hint="eastAsia" w:ascii="宋体" w:hAnsi="宋体" w:cs="宋体"/>
                <w:color w:val="auto"/>
                <w:sz w:val="24"/>
              </w:rPr>
            </w:pPr>
            <w:r>
              <w:rPr>
                <w:rFonts w:hint="eastAsia" w:ascii="宋体" w:hAnsi="宋体" w:cs="宋体"/>
                <w:color w:val="auto"/>
                <w:sz w:val="24"/>
              </w:rPr>
              <w:t>评标基准值计算方法</w:t>
            </w:r>
          </w:p>
        </w:tc>
        <w:tc>
          <w:tcPr>
            <w:tcW w:w="7198" w:type="dxa"/>
            <w:gridSpan w:val="2"/>
            <w:tcBorders>
              <w:top w:val="single" w:color="auto" w:sz="4" w:space="0"/>
              <w:left w:val="nil"/>
              <w:bottom w:val="single" w:color="auto" w:sz="4" w:space="0"/>
              <w:right w:val="single" w:color="auto" w:sz="4" w:space="0"/>
            </w:tcBorders>
            <w:noWrap w:val="0"/>
            <w:vAlign w:val="center"/>
          </w:tcPr>
          <w:p w14:paraId="0401595E">
            <w:pPr>
              <w:spacing w:line="360" w:lineRule="auto"/>
              <w:textAlignment w:val="baseline"/>
              <w:rPr>
                <w:rFonts w:hint="eastAsia" w:ascii="宋体" w:hAnsi="宋体" w:cs="宋体"/>
                <w:color w:val="auto"/>
                <w:sz w:val="24"/>
              </w:rPr>
            </w:pPr>
            <w:r>
              <w:rPr>
                <w:rFonts w:hint="eastAsia" w:ascii="宋体" w:hAnsi="宋体" w:cs="宋体"/>
                <w:color w:val="auto"/>
                <w:sz w:val="24"/>
              </w:rPr>
              <w:t>1、低于采购预算且通过初步评审的有效投标人报价为有效报价。</w:t>
            </w:r>
          </w:p>
          <w:p w14:paraId="72CEAF92">
            <w:pPr>
              <w:spacing w:line="360" w:lineRule="auto"/>
              <w:textAlignment w:val="baseline"/>
              <w:rPr>
                <w:rFonts w:hint="eastAsia" w:ascii="宋体" w:hAnsi="宋体" w:cs="宋体"/>
                <w:color w:val="auto"/>
                <w:sz w:val="24"/>
              </w:rPr>
            </w:pPr>
            <w:r>
              <w:rPr>
                <w:rFonts w:hint="eastAsia" w:ascii="宋体" w:hAnsi="宋体" w:cs="宋体"/>
                <w:color w:val="auto"/>
                <w:sz w:val="24"/>
              </w:rPr>
              <w:t>2、评标基准价=满足招标文件要求的最低有效报价为基准价</w:t>
            </w:r>
          </w:p>
        </w:tc>
      </w:tr>
      <w:tr w14:paraId="549D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51C215EB">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2.2评审项</w:t>
            </w:r>
          </w:p>
        </w:tc>
        <w:tc>
          <w:tcPr>
            <w:tcW w:w="1645" w:type="dxa"/>
            <w:gridSpan w:val="2"/>
            <w:tcBorders>
              <w:top w:val="single" w:color="auto" w:sz="4" w:space="0"/>
              <w:left w:val="nil"/>
              <w:bottom w:val="single" w:color="auto" w:sz="4" w:space="0"/>
              <w:right w:val="single" w:color="auto" w:sz="4" w:space="0"/>
            </w:tcBorders>
            <w:noWrap w:val="0"/>
            <w:vAlign w:val="center"/>
          </w:tcPr>
          <w:p w14:paraId="5D093FD4">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编列内容</w:t>
            </w:r>
          </w:p>
        </w:tc>
        <w:tc>
          <w:tcPr>
            <w:tcW w:w="7198" w:type="dxa"/>
            <w:gridSpan w:val="2"/>
            <w:tcBorders>
              <w:top w:val="single" w:color="auto" w:sz="4" w:space="0"/>
              <w:left w:val="nil"/>
              <w:bottom w:val="single" w:color="auto" w:sz="4" w:space="0"/>
              <w:right w:val="single" w:color="auto" w:sz="4" w:space="0"/>
            </w:tcBorders>
            <w:noWrap w:val="0"/>
            <w:vAlign w:val="center"/>
          </w:tcPr>
          <w:p w14:paraId="1D5714F9">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评审方法</w:t>
            </w:r>
          </w:p>
        </w:tc>
      </w:tr>
      <w:tr w14:paraId="3B14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326" w:type="dxa"/>
            <w:gridSpan w:val="2"/>
            <w:tcBorders>
              <w:top w:val="single" w:color="auto" w:sz="4" w:space="0"/>
              <w:left w:val="single" w:color="auto" w:sz="4" w:space="0"/>
              <w:right w:val="single" w:color="auto" w:sz="4" w:space="0"/>
            </w:tcBorders>
            <w:noWrap w:val="0"/>
            <w:vAlign w:val="center"/>
          </w:tcPr>
          <w:p w14:paraId="45860DF5">
            <w:pPr>
              <w:spacing w:line="360" w:lineRule="auto"/>
              <w:jc w:val="center"/>
              <w:rPr>
                <w:rFonts w:hint="eastAsia" w:ascii="宋体" w:hAnsi="宋体" w:cs="宋体"/>
                <w:color w:val="auto"/>
                <w:sz w:val="24"/>
              </w:rPr>
            </w:pPr>
            <w:r>
              <w:rPr>
                <w:rFonts w:hint="eastAsia" w:ascii="宋体" w:hAnsi="宋体" w:cs="宋体"/>
                <w:color w:val="auto"/>
                <w:sz w:val="24"/>
              </w:rPr>
              <w:t>投标报价（30分）</w:t>
            </w:r>
          </w:p>
        </w:tc>
        <w:tc>
          <w:tcPr>
            <w:tcW w:w="1645" w:type="dxa"/>
            <w:gridSpan w:val="2"/>
            <w:tcBorders>
              <w:top w:val="single" w:color="auto" w:sz="4" w:space="0"/>
              <w:left w:val="single" w:color="auto" w:sz="4" w:space="0"/>
              <w:right w:val="single" w:color="auto" w:sz="4" w:space="0"/>
            </w:tcBorders>
            <w:noWrap w:val="0"/>
            <w:vAlign w:val="center"/>
          </w:tcPr>
          <w:p w14:paraId="5F58A0B7">
            <w:pPr>
              <w:spacing w:line="360" w:lineRule="auto"/>
              <w:jc w:val="center"/>
              <w:rPr>
                <w:rFonts w:hint="eastAsia" w:ascii="宋体" w:hAnsi="宋体" w:cs="宋体"/>
                <w:color w:val="auto"/>
                <w:sz w:val="24"/>
              </w:rPr>
            </w:pPr>
            <w:r>
              <w:rPr>
                <w:rFonts w:hint="eastAsia" w:ascii="宋体" w:hAnsi="宋体" w:cs="宋体"/>
                <w:color w:val="auto"/>
                <w:sz w:val="24"/>
              </w:rPr>
              <w:t>投标报价</w:t>
            </w:r>
          </w:p>
        </w:tc>
        <w:tc>
          <w:tcPr>
            <w:tcW w:w="7198" w:type="dxa"/>
            <w:gridSpan w:val="2"/>
            <w:tcBorders>
              <w:top w:val="single" w:color="auto" w:sz="4" w:space="0"/>
              <w:left w:val="nil"/>
              <w:right w:val="single" w:color="auto" w:sz="4" w:space="0"/>
            </w:tcBorders>
            <w:noWrap w:val="0"/>
            <w:vAlign w:val="center"/>
          </w:tcPr>
          <w:p w14:paraId="2D2B103E">
            <w:pPr>
              <w:widowControl/>
              <w:spacing w:line="360" w:lineRule="auto"/>
              <w:textAlignment w:val="baseline"/>
              <w:rPr>
                <w:rFonts w:hint="eastAsia" w:ascii="宋体" w:hAnsi="宋体" w:cs="宋体"/>
                <w:color w:val="auto"/>
                <w:sz w:val="24"/>
                <w:lang w:val="en-US" w:eastAsia="zh-CN"/>
              </w:rPr>
            </w:pPr>
            <w:bookmarkStart w:id="80" w:name="OLE_LINK4"/>
            <w:r>
              <w:rPr>
                <w:rFonts w:hint="eastAsia" w:ascii="宋体" w:hAnsi="宋体" w:cs="宋体"/>
                <w:color w:val="auto"/>
                <w:sz w:val="24"/>
                <w:lang w:val="en-US" w:eastAsia="zh-CN"/>
              </w:rPr>
              <w:t>1、价格分采用低价优先法计算，即通过资格性和初步审查且第二轮投标价格最低的投标报价为评标基准价，其价格得分为满分30分。</w:t>
            </w:r>
          </w:p>
          <w:p w14:paraId="3E8EE9EB">
            <w:pPr>
              <w:widowControl/>
              <w:spacing w:line="360" w:lineRule="auto"/>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其他投标供应商的价格分统一按照下列公式计算：</w:t>
            </w:r>
          </w:p>
          <w:p w14:paraId="3D320C78">
            <w:pPr>
              <w:widowControl/>
              <w:spacing w:line="360" w:lineRule="auto"/>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投标报价得分＝（评标基准价/投标报价）×30％×100</w:t>
            </w:r>
          </w:p>
          <w:p w14:paraId="4B1E4D27">
            <w:pPr>
              <w:widowControl/>
              <w:spacing w:line="360" w:lineRule="auto"/>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2、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220488BF">
            <w:pPr>
              <w:widowControl/>
              <w:spacing w:line="360" w:lineRule="auto"/>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3、超出采购人预算价的响应报价为无效报价。</w:t>
            </w:r>
          </w:p>
          <w:p w14:paraId="183DD04E">
            <w:pPr>
              <w:widowControl/>
              <w:spacing w:line="360" w:lineRule="auto"/>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 xml:space="preserve">4、价格扣除：投标供应商为小微企业的（监狱企业/残疾人福利性企业视同小型、微型企业），对所投标的小型和微型企业制造的产品的价格给予20%的扣除，用扣除后的价格参与评审。参加投标的中小企业，应当按照《政府采购促进中小企业发展管理办法》 （财库〔2020〕46 号）的规定提供《中小企业声明函》（中小企业划型标准详见《关于印发中小企业划型标准规定的通知》工信部联企业〔2011〕300 号）。 投标供应商为大型企业的不适用本款规定。 </w:t>
            </w:r>
          </w:p>
          <w:p w14:paraId="4CE8920A">
            <w:pPr>
              <w:widowControl/>
              <w:spacing w:line="360" w:lineRule="auto"/>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 xml:space="preserve">5、根据财政部司法部《关于政府采购支持监狱企业发展有关问题32的通知》（财库〔2014〕68 号）规定，本项目对监狱企业作为投标供应商所提供的本企业生产的产品的价格给予 20%的扣除。监狱企业，应当提供由省级以上监狱管理局、戒毒管理局（含新疆生产建设兵团）出具的属于监狱企业的证明文件。 </w:t>
            </w:r>
          </w:p>
          <w:p w14:paraId="0D1E593C">
            <w:pPr>
              <w:widowControl/>
              <w:spacing w:line="360" w:lineRule="auto"/>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 xml:space="preserve">6、参加政府采购活动的残疾人福利性单位应当提供《残疾人福利性单位声明函》，未填写残疾人福利性单位声明函的在开标过程中不予认可。 </w:t>
            </w:r>
          </w:p>
          <w:p w14:paraId="575BAD9F">
            <w:pPr>
              <w:widowControl/>
              <w:spacing w:line="360" w:lineRule="auto"/>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 xml:space="preserve">7、同一投标供应商，小微企业产品和监狱企业产品价格扣除优惠只享受一次，不得重复享受 </w:t>
            </w:r>
          </w:p>
          <w:p w14:paraId="57ACBA1D">
            <w:pPr>
              <w:widowControl/>
              <w:spacing w:line="360" w:lineRule="auto"/>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 xml:space="preserve">例：所投小微企业产品报价=所投小微企业产品报价合计×【1-20%】 </w:t>
            </w:r>
          </w:p>
          <w:p w14:paraId="5FC2D135">
            <w:pPr>
              <w:widowControl/>
              <w:spacing w:line="360" w:lineRule="auto"/>
              <w:textAlignment w:val="baseline"/>
              <w:rPr>
                <w:rFonts w:hint="eastAsia" w:ascii="宋体" w:hAnsi="宋体" w:cs="宋体"/>
                <w:color w:val="auto"/>
                <w:sz w:val="24"/>
              </w:rPr>
            </w:pPr>
            <w:r>
              <w:rPr>
                <w:rFonts w:hint="eastAsia" w:ascii="宋体" w:hAnsi="宋体" w:cs="宋体"/>
                <w:color w:val="auto"/>
                <w:sz w:val="24"/>
                <w:lang w:val="en-US" w:eastAsia="zh-CN"/>
              </w:rPr>
              <w:t>注：价格分计算保留小数点后二位。</w:t>
            </w:r>
            <w:bookmarkEnd w:id="80"/>
          </w:p>
        </w:tc>
      </w:tr>
      <w:tr w14:paraId="41E8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6" w:type="dxa"/>
            <w:gridSpan w:val="2"/>
            <w:vMerge w:val="restart"/>
            <w:tcBorders>
              <w:top w:val="single" w:color="auto" w:sz="4" w:space="0"/>
              <w:left w:val="single" w:color="auto" w:sz="4" w:space="0"/>
              <w:right w:val="single" w:color="auto" w:sz="4" w:space="0"/>
            </w:tcBorders>
            <w:noWrap w:val="0"/>
            <w:vAlign w:val="center"/>
          </w:tcPr>
          <w:p w14:paraId="05F83F3A">
            <w:pPr>
              <w:spacing w:line="360" w:lineRule="auto"/>
              <w:jc w:val="center"/>
              <w:rPr>
                <w:rFonts w:hint="eastAsia" w:ascii="宋体" w:hAnsi="宋体" w:cs="宋体"/>
                <w:color w:val="auto"/>
                <w:sz w:val="24"/>
              </w:rPr>
            </w:pPr>
            <w:r>
              <w:rPr>
                <w:rFonts w:hint="eastAsia" w:ascii="宋体" w:hAnsi="宋体" w:cs="宋体"/>
                <w:color w:val="auto"/>
                <w:sz w:val="24"/>
              </w:rPr>
              <w:t>技术部分</w:t>
            </w:r>
          </w:p>
          <w:p w14:paraId="4E9CFC19">
            <w:pPr>
              <w:wordWrap w:val="0"/>
              <w:spacing w:line="360" w:lineRule="auto"/>
              <w:jc w:val="center"/>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50</w:t>
            </w:r>
            <w:r>
              <w:rPr>
                <w:rFonts w:hint="eastAsia" w:ascii="宋体" w:hAnsi="宋体" w:cs="宋体"/>
                <w:color w:val="auto"/>
                <w:sz w:val="24"/>
              </w:rPr>
              <w:t>分）</w:t>
            </w:r>
          </w:p>
        </w:tc>
        <w:tc>
          <w:tcPr>
            <w:tcW w:w="1645" w:type="dxa"/>
            <w:gridSpan w:val="2"/>
            <w:tcBorders>
              <w:top w:val="single" w:color="auto" w:sz="4" w:space="0"/>
              <w:left w:val="single" w:color="auto" w:sz="4" w:space="0"/>
              <w:right w:val="single" w:color="auto" w:sz="4" w:space="0"/>
            </w:tcBorders>
            <w:noWrap w:val="0"/>
            <w:vAlign w:val="center"/>
          </w:tcPr>
          <w:p w14:paraId="4CB400C0">
            <w:pPr>
              <w:widowControl/>
              <w:spacing w:line="360" w:lineRule="auto"/>
              <w:jc w:val="center"/>
              <w:textAlignment w:val="baseline"/>
              <w:rPr>
                <w:rFonts w:hint="eastAsia" w:ascii="宋体" w:hAnsi="宋体" w:cs="宋体"/>
                <w:color w:val="auto"/>
                <w:sz w:val="24"/>
              </w:rPr>
            </w:pPr>
            <w:r>
              <w:rPr>
                <w:rFonts w:hint="eastAsia" w:ascii="宋体" w:hAnsi="宋体" w:cs="宋体"/>
                <w:color w:val="auto"/>
                <w:sz w:val="24"/>
              </w:rPr>
              <w:t>技术参数</w:t>
            </w:r>
          </w:p>
          <w:p w14:paraId="00C98AB7">
            <w:pPr>
              <w:widowControl/>
              <w:spacing w:line="360" w:lineRule="auto"/>
              <w:jc w:val="center"/>
              <w:textAlignment w:val="baseline"/>
              <w:rPr>
                <w:rFonts w:hint="eastAsia"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10</w:t>
            </w:r>
            <w:r>
              <w:rPr>
                <w:rFonts w:hint="eastAsia" w:ascii="宋体" w:hAnsi="宋体" w:cs="宋体"/>
                <w:color w:val="auto"/>
                <w:sz w:val="24"/>
              </w:rPr>
              <w:t>分）</w:t>
            </w:r>
          </w:p>
        </w:tc>
        <w:tc>
          <w:tcPr>
            <w:tcW w:w="7198" w:type="dxa"/>
            <w:gridSpan w:val="2"/>
            <w:tcBorders>
              <w:top w:val="single" w:color="auto" w:sz="4" w:space="0"/>
              <w:left w:val="nil"/>
              <w:right w:val="single" w:color="auto" w:sz="4" w:space="0"/>
            </w:tcBorders>
            <w:noWrap w:val="0"/>
            <w:vAlign w:val="center"/>
          </w:tcPr>
          <w:p w14:paraId="276F93C5">
            <w:pPr>
              <w:widowControl/>
              <w:spacing w:line="360" w:lineRule="auto"/>
              <w:textAlignment w:val="baseline"/>
              <w:rPr>
                <w:rFonts w:hint="default"/>
                <w:color w:val="auto"/>
                <w:lang w:val="en-US" w:eastAsia="zh-CN"/>
              </w:rPr>
            </w:pPr>
            <w:r>
              <w:rPr>
                <w:rFonts w:hint="eastAsia" w:ascii="宋体" w:hAnsi="宋体" w:cs="宋体"/>
                <w:color w:val="auto"/>
                <w:sz w:val="24"/>
              </w:rPr>
              <w:t>投标人所投产品技术参数全部符合招标文件要求或优于招标文件要求的得</w:t>
            </w:r>
            <w:r>
              <w:rPr>
                <w:rFonts w:hint="eastAsia" w:ascii="宋体" w:hAnsi="宋体" w:cs="宋体"/>
                <w:color w:val="auto"/>
                <w:sz w:val="24"/>
                <w:lang w:val="en-US" w:eastAsia="zh-CN"/>
              </w:rPr>
              <w:t>10</w:t>
            </w:r>
            <w:r>
              <w:rPr>
                <w:rFonts w:hint="eastAsia" w:ascii="宋体" w:hAnsi="宋体" w:cs="宋体"/>
                <w:color w:val="auto"/>
                <w:sz w:val="24"/>
              </w:rPr>
              <w:t>分；有一项不满足</w:t>
            </w:r>
            <w:r>
              <w:rPr>
                <w:rFonts w:hint="eastAsia" w:ascii="宋体" w:hAnsi="宋体" w:cs="宋体"/>
                <w:color w:val="auto"/>
                <w:sz w:val="24"/>
                <w:lang w:val="en-US" w:eastAsia="zh-CN"/>
              </w:rPr>
              <w:t>得0分</w:t>
            </w:r>
            <w:r>
              <w:rPr>
                <w:rFonts w:hint="eastAsia" w:ascii="宋体" w:hAnsi="宋体" w:cs="宋体"/>
                <w:color w:val="auto"/>
                <w:sz w:val="24"/>
                <w:lang w:eastAsia="zh-CN"/>
              </w:rPr>
              <w:t>。</w:t>
            </w:r>
          </w:p>
        </w:tc>
      </w:tr>
      <w:tr w14:paraId="1068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jc w:val="center"/>
        </w:trPr>
        <w:tc>
          <w:tcPr>
            <w:tcW w:w="1326" w:type="dxa"/>
            <w:gridSpan w:val="2"/>
            <w:vMerge w:val="continue"/>
            <w:tcBorders>
              <w:left w:val="single" w:color="auto" w:sz="4" w:space="0"/>
              <w:right w:val="single" w:color="auto" w:sz="4" w:space="0"/>
            </w:tcBorders>
            <w:noWrap w:val="0"/>
            <w:vAlign w:val="center"/>
          </w:tcPr>
          <w:p w14:paraId="7D76605A">
            <w:pPr>
              <w:wordWrap w:val="0"/>
              <w:spacing w:line="360" w:lineRule="auto"/>
              <w:jc w:val="center"/>
              <w:rPr>
                <w:rFonts w:hint="eastAsia" w:ascii="宋体" w:hAnsi="宋体" w:cs="宋体"/>
                <w:color w:val="auto"/>
                <w:sz w:val="22"/>
                <w:szCs w:val="22"/>
              </w:rPr>
            </w:pPr>
          </w:p>
        </w:tc>
        <w:tc>
          <w:tcPr>
            <w:tcW w:w="1645" w:type="dxa"/>
            <w:gridSpan w:val="2"/>
            <w:tcBorders>
              <w:top w:val="single" w:color="auto" w:sz="4" w:space="0"/>
              <w:left w:val="single" w:color="auto" w:sz="4" w:space="0"/>
              <w:right w:val="single" w:color="auto" w:sz="4" w:space="0"/>
            </w:tcBorders>
            <w:noWrap w:val="0"/>
            <w:vAlign w:val="center"/>
          </w:tcPr>
          <w:p w14:paraId="06BA58DE">
            <w:pPr>
              <w:widowControl/>
              <w:spacing w:line="360" w:lineRule="auto"/>
              <w:jc w:val="center"/>
              <w:textAlignment w:val="baseline"/>
              <w:rPr>
                <w:rFonts w:hint="eastAsia" w:ascii="宋体" w:hAnsi="宋体" w:cs="宋体"/>
                <w:color w:val="auto"/>
                <w:sz w:val="24"/>
                <w:highlight w:val="none"/>
                <w:lang w:val="zh-CN"/>
              </w:rPr>
            </w:pPr>
            <w:r>
              <w:rPr>
                <w:rFonts w:hint="eastAsia" w:ascii="宋体" w:hAnsi="宋体" w:cs="宋体"/>
                <w:color w:val="auto"/>
                <w:sz w:val="24"/>
                <w:highlight w:val="none"/>
              </w:rPr>
              <w:t>实施方案（0-</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tc>
        <w:tc>
          <w:tcPr>
            <w:tcW w:w="7198" w:type="dxa"/>
            <w:gridSpan w:val="2"/>
            <w:tcBorders>
              <w:top w:val="single" w:color="auto" w:sz="4" w:space="0"/>
              <w:left w:val="nil"/>
              <w:right w:val="single" w:color="auto" w:sz="4" w:space="0"/>
            </w:tcBorders>
            <w:noWrap w:val="0"/>
            <w:vAlign w:val="center"/>
          </w:tcPr>
          <w:p w14:paraId="05BA3BBE">
            <w:pPr>
              <w:widowControl/>
              <w:spacing w:line="24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供应商提供的实施方案、技术力量组织、实施计划制定、项目需求调研，方案内容科学详细等内容进行打分：</w:t>
            </w:r>
          </w:p>
          <w:p w14:paraId="3A094BEF">
            <w:pPr>
              <w:widowControl/>
              <w:spacing w:line="24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1、方法与措施编写详尽、合理、逻辑清晰、可行性程度高的得10分；</w:t>
            </w:r>
          </w:p>
          <w:p w14:paraId="7E0E444E">
            <w:pPr>
              <w:widowControl/>
              <w:spacing w:line="24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2、方法与措施编写一般、但基本合理、逻辑较清晰、可行性程度一般的得6分；</w:t>
            </w:r>
          </w:p>
          <w:p w14:paraId="22623F86">
            <w:pPr>
              <w:widowControl/>
              <w:spacing w:line="24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3、方法与措施编写简单、不合理、逻辑混乱、可行性程度差的得2分；</w:t>
            </w:r>
          </w:p>
          <w:p w14:paraId="79890E69">
            <w:pPr>
              <w:widowControl/>
              <w:spacing w:line="24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4、缺项不得分。</w:t>
            </w:r>
          </w:p>
        </w:tc>
      </w:tr>
      <w:tr w14:paraId="287D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326" w:type="dxa"/>
            <w:gridSpan w:val="2"/>
            <w:vMerge w:val="continue"/>
            <w:tcBorders>
              <w:left w:val="single" w:color="auto" w:sz="4" w:space="0"/>
              <w:right w:val="single" w:color="auto" w:sz="4" w:space="0"/>
            </w:tcBorders>
            <w:noWrap w:val="0"/>
            <w:vAlign w:val="center"/>
          </w:tcPr>
          <w:p w14:paraId="71E7E567">
            <w:pPr>
              <w:wordWrap w:val="0"/>
              <w:spacing w:line="360" w:lineRule="auto"/>
              <w:jc w:val="center"/>
              <w:rPr>
                <w:rFonts w:hint="eastAsia" w:ascii="宋体" w:hAnsi="宋体" w:cs="宋体"/>
                <w:color w:val="auto"/>
                <w:sz w:val="22"/>
                <w:szCs w:val="22"/>
              </w:rPr>
            </w:pPr>
          </w:p>
        </w:tc>
        <w:tc>
          <w:tcPr>
            <w:tcW w:w="1645" w:type="dxa"/>
            <w:gridSpan w:val="2"/>
            <w:tcBorders>
              <w:top w:val="single" w:color="auto" w:sz="4" w:space="0"/>
              <w:left w:val="single" w:color="auto" w:sz="4" w:space="0"/>
              <w:right w:val="single" w:color="auto" w:sz="4" w:space="0"/>
            </w:tcBorders>
            <w:noWrap w:val="0"/>
            <w:vAlign w:val="center"/>
          </w:tcPr>
          <w:p w14:paraId="77E5B2AA">
            <w:pPr>
              <w:widowControl/>
              <w:spacing w:line="360" w:lineRule="auto"/>
              <w:jc w:val="center"/>
              <w:textAlignment w:val="baseline"/>
              <w:rPr>
                <w:rFonts w:hint="eastAsia" w:ascii="宋体" w:hAnsi="宋体" w:cs="宋体"/>
                <w:color w:val="auto"/>
                <w:sz w:val="24"/>
              </w:rPr>
            </w:pPr>
            <w:r>
              <w:rPr>
                <w:rFonts w:hint="eastAsia" w:ascii="宋体" w:hAnsi="宋体" w:cs="宋体"/>
                <w:color w:val="auto"/>
                <w:sz w:val="24"/>
              </w:rPr>
              <w:t>质量保障体系与保障措施（10分）</w:t>
            </w:r>
          </w:p>
        </w:tc>
        <w:tc>
          <w:tcPr>
            <w:tcW w:w="7198" w:type="dxa"/>
            <w:gridSpan w:val="2"/>
            <w:tcBorders>
              <w:top w:val="single" w:color="auto" w:sz="4" w:space="0"/>
              <w:left w:val="nil"/>
              <w:right w:val="single" w:color="auto" w:sz="4" w:space="0"/>
            </w:tcBorders>
            <w:noWrap w:val="0"/>
            <w:vAlign w:val="center"/>
          </w:tcPr>
          <w:p w14:paraId="461F9F37">
            <w:pPr>
              <w:widowControl/>
              <w:spacing w:line="24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供应商提供的保障体系与保障措施内容可行性进行打分：</w:t>
            </w:r>
          </w:p>
          <w:p w14:paraId="2A31E5A9">
            <w:pPr>
              <w:widowControl/>
              <w:spacing w:line="24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1、保障体系与保障措施编写详尽、合理、逻辑清晰、可行性程度高的得10分；</w:t>
            </w:r>
          </w:p>
          <w:p w14:paraId="46FF5954">
            <w:pPr>
              <w:widowControl/>
              <w:spacing w:line="24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2、保障体系与保障措施编写一般、但基本合理、逻辑较清晰、可行性程度一般的得6分；</w:t>
            </w:r>
          </w:p>
          <w:p w14:paraId="4699964C">
            <w:pPr>
              <w:widowControl/>
              <w:spacing w:line="24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3、保障体系与保障措施编写简单、不合理、逻辑混乱、可行性程度差的得2分；</w:t>
            </w:r>
          </w:p>
          <w:p w14:paraId="047CCE99">
            <w:pPr>
              <w:widowControl/>
              <w:spacing w:line="240" w:lineRule="auto"/>
              <w:textAlignment w:val="baseline"/>
              <w:rPr>
                <w:rFonts w:hint="eastAsia" w:ascii="宋体" w:hAnsi="宋体" w:cs="宋体"/>
                <w:color w:val="auto"/>
                <w:sz w:val="24"/>
              </w:rPr>
            </w:pPr>
            <w:r>
              <w:rPr>
                <w:rFonts w:hint="eastAsia" w:ascii="宋体" w:hAnsi="宋体" w:cs="宋体"/>
                <w:color w:val="auto"/>
                <w:sz w:val="24"/>
                <w:highlight w:val="none"/>
              </w:rPr>
              <w:t>4、缺项不得分；</w:t>
            </w:r>
          </w:p>
        </w:tc>
      </w:tr>
      <w:tr w14:paraId="4085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1326" w:type="dxa"/>
            <w:gridSpan w:val="2"/>
            <w:vMerge w:val="continue"/>
            <w:tcBorders>
              <w:left w:val="single" w:color="auto" w:sz="4" w:space="0"/>
              <w:right w:val="single" w:color="auto" w:sz="4" w:space="0"/>
            </w:tcBorders>
            <w:noWrap w:val="0"/>
            <w:vAlign w:val="center"/>
          </w:tcPr>
          <w:p w14:paraId="33ECBCE9">
            <w:pPr>
              <w:wordWrap w:val="0"/>
              <w:spacing w:line="360" w:lineRule="auto"/>
              <w:jc w:val="center"/>
              <w:rPr>
                <w:rFonts w:hint="eastAsia" w:ascii="宋体" w:hAnsi="宋体" w:cs="宋体"/>
                <w:color w:val="auto"/>
                <w:sz w:val="22"/>
                <w:szCs w:val="22"/>
              </w:rPr>
            </w:pPr>
          </w:p>
        </w:tc>
        <w:tc>
          <w:tcPr>
            <w:tcW w:w="1645" w:type="dxa"/>
            <w:gridSpan w:val="2"/>
            <w:tcBorders>
              <w:top w:val="single" w:color="auto" w:sz="4" w:space="0"/>
              <w:left w:val="single" w:color="auto" w:sz="4" w:space="0"/>
              <w:right w:val="single" w:color="auto" w:sz="4" w:space="0"/>
            </w:tcBorders>
            <w:noWrap w:val="0"/>
            <w:vAlign w:val="center"/>
          </w:tcPr>
          <w:p w14:paraId="465E1543">
            <w:pPr>
              <w:widowControl/>
              <w:spacing w:line="360" w:lineRule="auto"/>
              <w:jc w:val="center"/>
              <w:textAlignment w:val="baseline"/>
              <w:rPr>
                <w:rFonts w:hint="eastAsia" w:ascii="宋体" w:hAnsi="宋体" w:cs="宋体"/>
                <w:color w:val="auto"/>
                <w:sz w:val="24"/>
              </w:rPr>
            </w:pPr>
            <w:r>
              <w:rPr>
                <w:rFonts w:hint="eastAsia" w:ascii="宋体" w:hAnsi="宋体" w:cs="宋体"/>
                <w:color w:val="auto"/>
                <w:sz w:val="24"/>
              </w:rPr>
              <w:t>应急保障体系与保障措施（10分）</w:t>
            </w:r>
          </w:p>
        </w:tc>
        <w:tc>
          <w:tcPr>
            <w:tcW w:w="7198" w:type="dxa"/>
            <w:gridSpan w:val="2"/>
            <w:tcBorders>
              <w:top w:val="single" w:color="auto" w:sz="4" w:space="0"/>
              <w:left w:val="nil"/>
              <w:right w:val="single" w:color="auto" w:sz="4" w:space="0"/>
            </w:tcBorders>
            <w:noWrap w:val="0"/>
            <w:vAlign w:val="center"/>
          </w:tcPr>
          <w:p w14:paraId="06CE9213">
            <w:pPr>
              <w:widowControl/>
              <w:spacing w:line="240" w:lineRule="auto"/>
              <w:jc w:val="both"/>
              <w:textAlignment w:val="baseline"/>
              <w:rPr>
                <w:rFonts w:hint="eastAsia" w:ascii="宋体" w:hAnsi="宋体" w:cs="宋体"/>
                <w:color w:val="auto"/>
                <w:sz w:val="24"/>
              </w:rPr>
            </w:pPr>
            <w:r>
              <w:rPr>
                <w:rFonts w:hint="eastAsia" w:ascii="宋体" w:hAnsi="宋体" w:cs="宋体"/>
                <w:color w:val="auto"/>
                <w:sz w:val="24"/>
              </w:rPr>
              <w:t>供应商提供的保障体系与保障措施内容可行性进行打分：</w:t>
            </w:r>
          </w:p>
          <w:p w14:paraId="5CBF2470">
            <w:pPr>
              <w:widowControl/>
              <w:spacing w:line="240" w:lineRule="auto"/>
              <w:jc w:val="both"/>
              <w:textAlignment w:val="baseline"/>
              <w:rPr>
                <w:rFonts w:hint="eastAsia" w:ascii="宋体" w:hAnsi="宋体" w:cs="宋体"/>
                <w:color w:val="auto"/>
                <w:sz w:val="24"/>
              </w:rPr>
            </w:pPr>
            <w:r>
              <w:rPr>
                <w:rFonts w:hint="eastAsia" w:ascii="宋体" w:hAnsi="宋体" w:cs="宋体"/>
                <w:color w:val="auto"/>
                <w:sz w:val="24"/>
              </w:rPr>
              <w:t>1、保障体系与保障措施编写详尽、合理、逻辑清晰、可行性程度高的得10分；</w:t>
            </w:r>
          </w:p>
          <w:p w14:paraId="50D69E69">
            <w:pPr>
              <w:widowControl/>
              <w:spacing w:line="240" w:lineRule="auto"/>
              <w:jc w:val="both"/>
              <w:textAlignment w:val="baseline"/>
              <w:rPr>
                <w:rFonts w:hint="eastAsia" w:ascii="宋体" w:hAnsi="宋体" w:cs="宋体"/>
                <w:color w:val="auto"/>
                <w:sz w:val="24"/>
              </w:rPr>
            </w:pPr>
            <w:r>
              <w:rPr>
                <w:rFonts w:hint="eastAsia" w:ascii="宋体" w:hAnsi="宋体" w:cs="宋体"/>
                <w:color w:val="auto"/>
                <w:sz w:val="24"/>
              </w:rPr>
              <w:t>2、保障体系与保障措施编写一般、但基本合理、逻辑较清晰、可行性程度一般的得6分；</w:t>
            </w:r>
          </w:p>
          <w:p w14:paraId="768BBAAF">
            <w:pPr>
              <w:widowControl/>
              <w:spacing w:line="240" w:lineRule="auto"/>
              <w:jc w:val="both"/>
              <w:textAlignment w:val="baseline"/>
              <w:rPr>
                <w:rFonts w:hint="eastAsia" w:ascii="宋体" w:hAnsi="宋体" w:cs="宋体"/>
                <w:color w:val="auto"/>
                <w:sz w:val="24"/>
              </w:rPr>
            </w:pPr>
            <w:r>
              <w:rPr>
                <w:rFonts w:hint="eastAsia" w:ascii="宋体" w:hAnsi="宋体" w:cs="宋体"/>
                <w:color w:val="auto"/>
                <w:sz w:val="24"/>
              </w:rPr>
              <w:t>3、保障体系与保障措施编写简单、不合理、逻辑混乱、可行性程度差的得2分；</w:t>
            </w:r>
          </w:p>
          <w:p w14:paraId="0E92CEFF">
            <w:pPr>
              <w:widowControl/>
              <w:spacing w:line="240" w:lineRule="auto"/>
              <w:jc w:val="both"/>
              <w:textAlignment w:val="baseline"/>
              <w:rPr>
                <w:rFonts w:hint="eastAsia" w:ascii="宋体" w:hAnsi="宋体" w:cs="宋体"/>
                <w:color w:val="auto"/>
                <w:sz w:val="24"/>
              </w:rPr>
            </w:pPr>
            <w:r>
              <w:rPr>
                <w:rFonts w:hint="eastAsia" w:ascii="宋体" w:hAnsi="宋体" w:cs="宋体"/>
                <w:color w:val="auto"/>
                <w:sz w:val="24"/>
              </w:rPr>
              <w:t>4、缺项不得分。</w:t>
            </w:r>
          </w:p>
        </w:tc>
      </w:tr>
      <w:tr w14:paraId="2B70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1326" w:type="dxa"/>
            <w:gridSpan w:val="2"/>
            <w:vMerge w:val="continue"/>
            <w:tcBorders>
              <w:left w:val="single" w:color="auto" w:sz="4" w:space="0"/>
              <w:right w:val="single" w:color="auto" w:sz="4" w:space="0"/>
            </w:tcBorders>
            <w:noWrap w:val="0"/>
            <w:vAlign w:val="center"/>
          </w:tcPr>
          <w:p w14:paraId="77A3D6FB">
            <w:pPr>
              <w:wordWrap w:val="0"/>
              <w:spacing w:line="360" w:lineRule="auto"/>
              <w:jc w:val="center"/>
              <w:rPr>
                <w:rFonts w:hint="eastAsia" w:ascii="宋体" w:hAnsi="宋体" w:cs="宋体"/>
                <w:color w:val="auto"/>
                <w:sz w:val="22"/>
                <w:szCs w:val="22"/>
              </w:rPr>
            </w:pPr>
          </w:p>
        </w:tc>
        <w:tc>
          <w:tcPr>
            <w:tcW w:w="1645" w:type="dxa"/>
            <w:gridSpan w:val="2"/>
            <w:tcBorders>
              <w:top w:val="single" w:color="auto" w:sz="4" w:space="0"/>
              <w:left w:val="single" w:color="auto" w:sz="4" w:space="0"/>
              <w:right w:val="single" w:color="auto" w:sz="4" w:space="0"/>
            </w:tcBorders>
            <w:noWrap w:val="0"/>
            <w:vAlign w:val="center"/>
          </w:tcPr>
          <w:p w14:paraId="22F9D53B">
            <w:pPr>
              <w:widowControl/>
              <w:spacing w:line="360" w:lineRule="auto"/>
              <w:jc w:val="center"/>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进度保证措施</w:t>
            </w:r>
          </w:p>
          <w:p w14:paraId="678C5CA7">
            <w:pPr>
              <w:widowControl/>
              <w:spacing w:line="360" w:lineRule="auto"/>
              <w:jc w:val="center"/>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rPr>
              <w:t>（0-5分）</w:t>
            </w:r>
          </w:p>
        </w:tc>
        <w:tc>
          <w:tcPr>
            <w:tcW w:w="7198" w:type="dxa"/>
            <w:gridSpan w:val="2"/>
            <w:tcBorders>
              <w:top w:val="single" w:color="auto" w:sz="4" w:space="0"/>
              <w:left w:val="nil"/>
              <w:right w:val="single" w:color="auto" w:sz="4" w:space="0"/>
            </w:tcBorders>
            <w:noWrap w:val="0"/>
            <w:vAlign w:val="center"/>
          </w:tcPr>
          <w:p w14:paraId="6A62CDC5">
            <w:pPr>
              <w:widowControl/>
              <w:spacing w:line="240" w:lineRule="auto"/>
              <w:jc w:val="both"/>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进度保证措施内容详实，科学、合理、安全，考虑周全措施到位，针对性强，得5分；</w:t>
            </w:r>
          </w:p>
          <w:p w14:paraId="61BF69D4">
            <w:pPr>
              <w:widowControl/>
              <w:spacing w:line="240" w:lineRule="auto"/>
              <w:jc w:val="both"/>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进度保证措施内容完整，基本科学、合理、安全，基本考虑周全措施到位，针对性较强得3分；</w:t>
            </w:r>
          </w:p>
          <w:p w14:paraId="4B7ACB1A">
            <w:pPr>
              <w:widowControl/>
              <w:spacing w:line="240" w:lineRule="auto"/>
              <w:jc w:val="both"/>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进度保证措施内容完整，考虑不周，措施不够到位，针对性不强，得1分；</w:t>
            </w:r>
          </w:p>
          <w:p w14:paraId="2C271AED">
            <w:pPr>
              <w:widowControl/>
              <w:spacing w:line="240" w:lineRule="auto"/>
              <w:jc w:val="both"/>
              <w:textAlignment w:val="baseline"/>
              <w:rPr>
                <w:rFonts w:hint="eastAsia" w:ascii="宋体" w:hAnsi="宋体" w:cs="宋体"/>
                <w:color w:val="auto"/>
                <w:sz w:val="24"/>
                <w:highlight w:val="none"/>
              </w:rPr>
            </w:pPr>
            <w:r>
              <w:rPr>
                <w:rFonts w:hint="eastAsia" w:ascii="宋体" w:hAnsi="宋体" w:cs="宋体"/>
                <w:color w:val="auto"/>
                <w:sz w:val="24"/>
              </w:rPr>
              <w:t>缺项或不符合要求不得分；</w:t>
            </w:r>
          </w:p>
        </w:tc>
      </w:tr>
      <w:tr w14:paraId="5E1F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326" w:type="dxa"/>
            <w:gridSpan w:val="2"/>
            <w:vMerge w:val="continue"/>
            <w:tcBorders>
              <w:left w:val="single" w:color="auto" w:sz="4" w:space="0"/>
              <w:right w:val="single" w:color="auto" w:sz="4" w:space="0"/>
            </w:tcBorders>
            <w:noWrap w:val="0"/>
            <w:vAlign w:val="center"/>
          </w:tcPr>
          <w:p w14:paraId="2AFF9724">
            <w:pPr>
              <w:wordWrap w:val="0"/>
              <w:spacing w:line="360" w:lineRule="auto"/>
              <w:jc w:val="center"/>
              <w:rPr>
                <w:rFonts w:hint="eastAsia" w:ascii="宋体" w:hAnsi="宋体" w:cs="宋体"/>
                <w:color w:val="auto"/>
                <w:sz w:val="22"/>
                <w:szCs w:val="22"/>
              </w:rPr>
            </w:pPr>
          </w:p>
        </w:tc>
        <w:tc>
          <w:tcPr>
            <w:tcW w:w="1645" w:type="dxa"/>
            <w:gridSpan w:val="2"/>
            <w:tcBorders>
              <w:top w:val="single" w:color="auto" w:sz="4" w:space="0"/>
              <w:left w:val="single" w:color="auto" w:sz="4" w:space="0"/>
              <w:right w:val="single" w:color="auto" w:sz="4" w:space="0"/>
            </w:tcBorders>
            <w:noWrap w:val="0"/>
            <w:vAlign w:val="center"/>
          </w:tcPr>
          <w:p w14:paraId="44945719">
            <w:pPr>
              <w:widowControl/>
              <w:spacing w:line="360" w:lineRule="auto"/>
              <w:jc w:val="center"/>
              <w:textAlignment w:val="baseline"/>
              <w:rPr>
                <w:rFonts w:hint="eastAsia" w:ascii="宋体" w:hAnsi="宋体" w:cs="宋体"/>
                <w:color w:val="auto"/>
                <w:sz w:val="24"/>
              </w:rPr>
            </w:pPr>
            <w:r>
              <w:rPr>
                <w:rFonts w:hint="eastAsia" w:ascii="宋体" w:hAnsi="宋体" w:cs="宋体"/>
                <w:color w:val="auto"/>
                <w:sz w:val="24"/>
              </w:rPr>
              <w:t>运输供货保障方案</w:t>
            </w:r>
          </w:p>
          <w:p w14:paraId="6478AFA1">
            <w:pPr>
              <w:widowControl/>
              <w:spacing w:line="360" w:lineRule="auto"/>
              <w:jc w:val="center"/>
              <w:textAlignment w:val="baseline"/>
              <w:rPr>
                <w:rFonts w:hint="eastAsia" w:ascii="宋体" w:hAnsi="宋体" w:cs="宋体"/>
                <w:color w:val="auto"/>
                <w:sz w:val="24"/>
                <w:highlight w:val="none"/>
              </w:rPr>
            </w:pPr>
            <w:r>
              <w:rPr>
                <w:rFonts w:hint="eastAsia" w:ascii="宋体" w:hAnsi="宋体" w:cs="宋体"/>
                <w:color w:val="auto"/>
                <w:sz w:val="24"/>
              </w:rPr>
              <w:t>（0-5分）</w:t>
            </w:r>
          </w:p>
        </w:tc>
        <w:tc>
          <w:tcPr>
            <w:tcW w:w="7198" w:type="dxa"/>
            <w:gridSpan w:val="2"/>
            <w:tcBorders>
              <w:top w:val="single" w:color="auto" w:sz="4" w:space="0"/>
              <w:left w:val="nil"/>
              <w:right w:val="single" w:color="auto" w:sz="4" w:space="0"/>
            </w:tcBorders>
            <w:noWrap w:val="0"/>
            <w:vAlign w:val="center"/>
          </w:tcPr>
          <w:p w14:paraId="60573735">
            <w:pPr>
              <w:widowControl/>
              <w:spacing w:line="240" w:lineRule="auto"/>
              <w:jc w:val="both"/>
              <w:textAlignment w:val="baseline"/>
              <w:rPr>
                <w:rFonts w:hint="eastAsia" w:ascii="宋体" w:hAnsi="宋体" w:cs="宋体"/>
                <w:color w:val="auto"/>
                <w:sz w:val="24"/>
              </w:rPr>
            </w:pPr>
            <w:r>
              <w:rPr>
                <w:rFonts w:hint="eastAsia" w:ascii="宋体" w:hAnsi="宋体" w:cs="宋体"/>
                <w:color w:val="auto"/>
                <w:sz w:val="24"/>
              </w:rPr>
              <w:t xml:space="preserve">有详细的供货保障方案，且具有明确的工作流程，措施科学、完整的，得5分； </w:t>
            </w:r>
          </w:p>
          <w:p w14:paraId="2EE62395">
            <w:pPr>
              <w:widowControl/>
              <w:spacing w:line="240" w:lineRule="auto"/>
              <w:jc w:val="both"/>
              <w:textAlignment w:val="baseline"/>
              <w:rPr>
                <w:rFonts w:hint="eastAsia" w:ascii="宋体" w:hAnsi="宋体" w:cs="宋体"/>
                <w:color w:val="auto"/>
                <w:sz w:val="24"/>
              </w:rPr>
            </w:pPr>
            <w:r>
              <w:rPr>
                <w:rFonts w:hint="eastAsia" w:ascii="宋体" w:hAnsi="宋体" w:cs="宋体"/>
                <w:color w:val="auto"/>
                <w:sz w:val="24"/>
              </w:rPr>
              <w:t>有较详细的供货方案，但工作流程一般，措施较为科学的，得3分；</w:t>
            </w:r>
          </w:p>
          <w:p w14:paraId="713AE253">
            <w:pPr>
              <w:widowControl/>
              <w:spacing w:line="240" w:lineRule="auto"/>
              <w:jc w:val="both"/>
              <w:textAlignment w:val="baseline"/>
              <w:rPr>
                <w:rFonts w:hint="eastAsia" w:ascii="宋体" w:hAnsi="宋体" w:cs="宋体"/>
                <w:color w:val="auto"/>
                <w:sz w:val="24"/>
              </w:rPr>
            </w:pPr>
            <w:r>
              <w:rPr>
                <w:rFonts w:hint="eastAsia" w:ascii="宋体" w:hAnsi="宋体" w:cs="宋体"/>
                <w:color w:val="auto"/>
                <w:sz w:val="24"/>
              </w:rPr>
              <w:t>内容差或者不完整得1分；</w:t>
            </w:r>
          </w:p>
          <w:p w14:paraId="7BF20258">
            <w:pPr>
              <w:widowControl/>
              <w:spacing w:line="240" w:lineRule="auto"/>
              <w:jc w:val="both"/>
              <w:textAlignment w:val="baseline"/>
              <w:rPr>
                <w:rFonts w:hint="eastAsia" w:ascii="宋体" w:hAnsi="宋体" w:cs="宋体"/>
                <w:color w:val="auto"/>
                <w:sz w:val="24"/>
                <w:highlight w:val="none"/>
              </w:rPr>
            </w:pPr>
            <w:r>
              <w:rPr>
                <w:rFonts w:hint="eastAsia" w:ascii="宋体" w:hAnsi="宋体" w:cs="宋体"/>
                <w:color w:val="auto"/>
                <w:sz w:val="24"/>
              </w:rPr>
              <w:t>缺项或不符合要求不得分；</w:t>
            </w:r>
          </w:p>
        </w:tc>
      </w:tr>
      <w:tr w14:paraId="0D5B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326" w:type="dxa"/>
            <w:gridSpan w:val="2"/>
            <w:vMerge w:val="restart"/>
            <w:tcBorders>
              <w:left w:val="single" w:color="auto" w:sz="4" w:space="0"/>
              <w:right w:val="single" w:color="auto" w:sz="4" w:space="0"/>
            </w:tcBorders>
            <w:noWrap w:val="0"/>
            <w:vAlign w:val="center"/>
          </w:tcPr>
          <w:p w14:paraId="34B45DBE">
            <w:pPr>
              <w:spacing w:line="360" w:lineRule="auto"/>
              <w:jc w:val="center"/>
              <w:textAlignment w:val="baseline"/>
              <w:rPr>
                <w:rFonts w:hint="eastAsia" w:ascii="宋体" w:hAnsi="宋体" w:cs="宋体"/>
                <w:color w:val="auto"/>
                <w:sz w:val="22"/>
                <w:szCs w:val="22"/>
              </w:rPr>
            </w:pPr>
            <w:r>
              <w:rPr>
                <w:rFonts w:hint="eastAsia" w:ascii="宋体" w:hAnsi="宋体" w:cs="宋体"/>
                <w:color w:val="auto"/>
                <w:sz w:val="24"/>
                <w:lang w:val="en-US" w:eastAsia="zh-CN"/>
              </w:rPr>
              <w:t>商务</w:t>
            </w:r>
            <w:r>
              <w:rPr>
                <w:rFonts w:hint="eastAsia" w:ascii="宋体" w:hAnsi="宋体" w:cs="宋体"/>
                <w:color w:val="auto"/>
                <w:sz w:val="24"/>
              </w:rPr>
              <w:t>部分（</w:t>
            </w:r>
            <w:r>
              <w:rPr>
                <w:rFonts w:hint="eastAsia" w:ascii="宋体" w:hAnsi="宋体" w:cs="宋体"/>
                <w:color w:val="auto"/>
                <w:sz w:val="24"/>
                <w:lang w:val="en-US" w:eastAsia="zh-CN"/>
              </w:rPr>
              <w:t>20</w:t>
            </w:r>
            <w:r>
              <w:rPr>
                <w:rFonts w:hint="eastAsia" w:ascii="宋体" w:hAnsi="宋体" w:cs="宋体"/>
                <w:color w:val="auto"/>
                <w:sz w:val="24"/>
              </w:rPr>
              <w:t>分）</w:t>
            </w:r>
          </w:p>
        </w:tc>
        <w:tc>
          <w:tcPr>
            <w:tcW w:w="1645" w:type="dxa"/>
            <w:gridSpan w:val="2"/>
            <w:tcBorders>
              <w:top w:val="single" w:color="auto" w:sz="4" w:space="0"/>
              <w:left w:val="single" w:color="auto" w:sz="4" w:space="0"/>
              <w:right w:val="single" w:color="auto" w:sz="4" w:space="0"/>
            </w:tcBorders>
            <w:noWrap w:val="0"/>
            <w:vAlign w:val="center"/>
          </w:tcPr>
          <w:p w14:paraId="05BADF98">
            <w:pPr>
              <w:pageBreakBefore w:val="0"/>
              <w:kinsoku/>
              <w:wordWrap w:val="0"/>
              <w:overflowPunct/>
              <w:bidi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企业业绩</w:t>
            </w:r>
          </w:p>
          <w:p w14:paraId="7C64EB47">
            <w:pPr>
              <w:pageBreakBefore w:val="0"/>
              <w:kinsoku/>
              <w:wordWrap w:val="0"/>
              <w:overflowPunct/>
              <w:bidi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lang w:val="en-US" w:eastAsia="zh-CN"/>
              </w:rPr>
              <w:t>（0-8分）</w:t>
            </w:r>
          </w:p>
        </w:tc>
        <w:tc>
          <w:tcPr>
            <w:tcW w:w="7198" w:type="dxa"/>
            <w:gridSpan w:val="2"/>
            <w:tcBorders>
              <w:top w:val="single" w:color="auto" w:sz="4" w:space="0"/>
              <w:left w:val="nil"/>
              <w:right w:val="single" w:color="auto" w:sz="4" w:space="0"/>
            </w:tcBorders>
            <w:noWrap w:val="0"/>
            <w:vAlign w:val="center"/>
          </w:tcPr>
          <w:p w14:paraId="1D6CFB0E">
            <w:pPr>
              <w:widowControl/>
              <w:spacing w:line="360" w:lineRule="auto"/>
              <w:textAlignment w:val="baseline"/>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供应商提供自2021年来（时间以签订合同时间为准）类似业绩，每有一份得2分，共8分；注：投标文件中需附类似业绩中标通知书或合同的扫描件，扫描件必须清晰可见，否则不得分。</w:t>
            </w:r>
          </w:p>
        </w:tc>
      </w:tr>
      <w:tr w14:paraId="67A5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326" w:type="dxa"/>
            <w:gridSpan w:val="2"/>
            <w:vMerge w:val="continue"/>
            <w:tcBorders>
              <w:left w:val="single" w:color="auto" w:sz="4" w:space="0"/>
              <w:right w:val="single" w:color="auto" w:sz="4" w:space="0"/>
            </w:tcBorders>
            <w:noWrap w:val="0"/>
            <w:vAlign w:val="center"/>
          </w:tcPr>
          <w:p w14:paraId="295A8B41">
            <w:pPr>
              <w:spacing w:line="360" w:lineRule="auto"/>
              <w:textAlignment w:val="baseline"/>
              <w:rPr>
                <w:rFonts w:hint="eastAsia" w:ascii="宋体" w:hAnsi="宋体" w:cs="宋体"/>
                <w:color w:val="auto"/>
                <w:sz w:val="22"/>
                <w:szCs w:val="22"/>
              </w:rPr>
            </w:pPr>
          </w:p>
        </w:tc>
        <w:tc>
          <w:tcPr>
            <w:tcW w:w="1645" w:type="dxa"/>
            <w:gridSpan w:val="2"/>
            <w:tcBorders>
              <w:top w:val="single" w:color="auto" w:sz="4" w:space="0"/>
              <w:left w:val="single" w:color="auto" w:sz="4" w:space="0"/>
              <w:right w:val="single" w:color="auto" w:sz="4" w:space="0"/>
            </w:tcBorders>
            <w:noWrap w:val="0"/>
            <w:vAlign w:val="center"/>
          </w:tcPr>
          <w:p w14:paraId="6A602A53">
            <w:pPr>
              <w:pageBreakBefore w:val="0"/>
              <w:kinsoku/>
              <w:wordWrap w:val="0"/>
              <w:overflowPunct/>
              <w:bidi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响应文件规范程度</w:t>
            </w:r>
          </w:p>
          <w:p w14:paraId="6EFAC249">
            <w:pPr>
              <w:pageBreakBefore w:val="0"/>
              <w:kinsoku/>
              <w:wordWrap w:val="0"/>
              <w:overflowPunct/>
              <w:bidi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（2分）</w:t>
            </w:r>
          </w:p>
        </w:tc>
        <w:tc>
          <w:tcPr>
            <w:tcW w:w="7198" w:type="dxa"/>
            <w:gridSpan w:val="2"/>
            <w:tcBorders>
              <w:top w:val="single" w:color="auto" w:sz="4" w:space="0"/>
              <w:left w:val="nil"/>
              <w:right w:val="single" w:color="auto" w:sz="4" w:space="0"/>
            </w:tcBorders>
            <w:noWrap w:val="0"/>
            <w:vAlign w:val="center"/>
          </w:tcPr>
          <w:p w14:paraId="2D041F72">
            <w:pPr>
              <w:spacing w:line="360" w:lineRule="auto"/>
              <w:jc w:val="left"/>
              <w:rPr>
                <w:rFonts w:hint="eastAsia" w:ascii="宋体" w:hAnsi="宋体" w:eastAsia="宋体" w:cs="宋体"/>
                <w:color w:val="auto"/>
                <w:sz w:val="24"/>
                <w:lang w:val="en-US" w:eastAsia="zh-CN"/>
              </w:rPr>
            </w:pPr>
            <w:r>
              <w:rPr>
                <w:rFonts w:hint="eastAsia" w:ascii="Times New Roman" w:hAnsi="宋体" w:eastAsia="宋体" w:cs="Times New Roman"/>
                <w:sz w:val="24"/>
                <w:szCs w:val="22"/>
                <w:highlight w:val="none"/>
                <w:lang w:val="en-US" w:eastAsia="zh-CN"/>
              </w:rPr>
              <w:t>所提供资料准确完整、排版清晰、一目了然、无差错得2分，不完整不得分</w:t>
            </w:r>
          </w:p>
        </w:tc>
      </w:tr>
      <w:tr w14:paraId="55E6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26" w:type="dxa"/>
            <w:gridSpan w:val="2"/>
            <w:vMerge w:val="continue"/>
            <w:tcBorders>
              <w:left w:val="single" w:color="auto" w:sz="4" w:space="0"/>
              <w:right w:val="single" w:color="auto" w:sz="4" w:space="0"/>
            </w:tcBorders>
            <w:noWrap w:val="0"/>
            <w:vAlign w:val="center"/>
          </w:tcPr>
          <w:p w14:paraId="0373ED8A">
            <w:pPr>
              <w:spacing w:line="360" w:lineRule="auto"/>
              <w:textAlignment w:val="baseline"/>
              <w:rPr>
                <w:rFonts w:hint="eastAsia" w:ascii="宋体" w:hAnsi="宋体" w:cs="宋体"/>
                <w:color w:val="auto"/>
                <w:sz w:val="22"/>
                <w:szCs w:val="22"/>
              </w:rPr>
            </w:pPr>
          </w:p>
        </w:tc>
        <w:tc>
          <w:tcPr>
            <w:tcW w:w="1645" w:type="dxa"/>
            <w:gridSpan w:val="2"/>
            <w:tcBorders>
              <w:top w:val="single" w:color="auto" w:sz="4" w:space="0"/>
              <w:left w:val="single" w:color="auto" w:sz="4" w:space="0"/>
              <w:right w:val="single" w:color="auto" w:sz="4" w:space="0"/>
            </w:tcBorders>
            <w:noWrap w:val="0"/>
            <w:vAlign w:val="center"/>
          </w:tcPr>
          <w:p w14:paraId="31327422">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售后服务</w:t>
            </w:r>
          </w:p>
          <w:p w14:paraId="18946EC8">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（10分）</w:t>
            </w:r>
          </w:p>
        </w:tc>
        <w:tc>
          <w:tcPr>
            <w:tcW w:w="7198" w:type="dxa"/>
            <w:gridSpan w:val="2"/>
            <w:tcBorders>
              <w:top w:val="single" w:color="auto" w:sz="4" w:space="0"/>
              <w:left w:val="nil"/>
              <w:right w:val="single" w:color="auto" w:sz="4" w:space="0"/>
            </w:tcBorders>
            <w:noWrap w:val="0"/>
            <w:vAlign w:val="center"/>
          </w:tcPr>
          <w:p w14:paraId="408030F9">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供应商提供的售后服务的内容、形式、解决质量或操作问题的响应时间、解决方案（含应急突发事件）等进行打分：</w:t>
            </w:r>
            <w:r>
              <w:rPr>
                <w:rFonts w:hint="eastAsia" w:ascii="宋体" w:hAnsi="宋体" w:eastAsia="宋体" w:cs="宋体"/>
                <w:color w:val="auto"/>
                <w:sz w:val="24"/>
                <w:lang w:val="en-US" w:eastAsia="zh-CN"/>
              </w:rPr>
              <w:br w:type="textWrapping"/>
            </w:r>
            <w:r>
              <w:rPr>
                <w:rFonts w:hint="eastAsia" w:ascii="宋体" w:hAnsi="宋体" w:eastAsia="宋体" w:cs="宋体"/>
                <w:color w:val="auto"/>
                <w:sz w:val="24"/>
                <w:lang w:val="en-US" w:eastAsia="zh-CN"/>
              </w:rPr>
              <w:t>1、售后服务方案编写详尽、合理、逻辑清晰、可行性程度高的得10分；</w:t>
            </w:r>
            <w:r>
              <w:rPr>
                <w:rFonts w:hint="eastAsia" w:ascii="宋体" w:hAnsi="宋体" w:eastAsia="宋体" w:cs="宋体"/>
                <w:color w:val="auto"/>
                <w:sz w:val="24"/>
                <w:lang w:val="en-US" w:eastAsia="zh-CN"/>
              </w:rPr>
              <w:br w:type="textWrapping"/>
            </w:r>
            <w:r>
              <w:rPr>
                <w:rFonts w:hint="eastAsia" w:ascii="宋体" w:hAnsi="宋体" w:eastAsia="宋体" w:cs="宋体"/>
                <w:color w:val="auto"/>
                <w:sz w:val="24"/>
                <w:lang w:val="en-US" w:eastAsia="zh-CN"/>
              </w:rPr>
              <w:t>2、售后服务方案编写一般、但基本合理、逻辑较清晰、可行性程度一般的得6分；</w:t>
            </w:r>
            <w:r>
              <w:rPr>
                <w:rFonts w:hint="eastAsia" w:ascii="宋体" w:hAnsi="宋体" w:eastAsia="宋体" w:cs="宋体"/>
                <w:color w:val="auto"/>
                <w:sz w:val="24"/>
                <w:lang w:val="en-US" w:eastAsia="zh-CN"/>
              </w:rPr>
              <w:br w:type="textWrapping"/>
            </w:r>
            <w:r>
              <w:rPr>
                <w:rFonts w:hint="eastAsia" w:ascii="宋体" w:hAnsi="宋体" w:eastAsia="宋体" w:cs="宋体"/>
                <w:color w:val="auto"/>
                <w:sz w:val="24"/>
                <w:lang w:val="en-US" w:eastAsia="zh-CN"/>
              </w:rPr>
              <w:t>3、售后服务方案编写简单、不合理、逻辑混乱、可行性程度差的得2分；</w:t>
            </w:r>
            <w:r>
              <w:rPr>
                <w:rFonts w:hint="eastAsia" w:ascii="宋体" w:hAnsi="宋体" w:eastAsia="宋体" w:cs="宋体"/>
                <w:color w:val="auto"/>
                <w:sz w:val="24"/>
                <w:lang w:val="en-US" w:eastAsia="zh-CN"/>
              </w:rPr>
              <w:br w:type="textWrapping"/>
            </w:r>
            <w:r>
              <w:rPr>
                <w:rFonts w:hint="eastAsia" w:ascii="宋体" w:hAnsi="宋体" w:eastAsia="宋体" w:cs="宋体"/>
                <w:color w:val="auto"/>
                <w:sz w:val="24"/>
                <w:lang w:val="en-US" w:eastAsia="zh-CN"/>
              </w:rPr>
              <w:t>4、缺项不得分。</w:t>
            </w:r>
          </w:p>
        </w:tc>
      </w:tr>
      <w:tr w14:paraId="6E14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169" w:type="dxa"/>
            <w:gridSpan w:val="6"/>
            <w:tcBorders>
              <w:left w:val="single" w:color="auto" w:sz="4" w:space="0"/>
              <w:right w:val="single" w:color="auto" w:sz="4" w:space="0"/>
            </w:tcBorders>
            <w:noWrap w:val="0"/>
            <w:vAlign w:val="center"/>
          </w:tcPr>
          <w:p w14:paraId="204F29C9">
            <w:pPr>
              <w:widowControl/>
              <w:spacing w:line="360" w:lineRule="auto"/>
              <w:textAlignment w:val="baseline"/>
              <w:rPr>
                <w:rFonts w:hint="eastAsia" w:ascii="宋体" w:hAnsi="宋体" w:cs="宋体"/>
                <w:b/>
                <w:bCs/>
                <w:color w:val="auto"/>
                <w:sz w:val="24"/>
              </w:rPr>
            </w:pPr>
            <w:r>
              <w:rPr>
                <w:rFonts w:hint="eastAsia" w:ascii="宋体" w:hAnsi="宋体" w:cs="宋体"/>
                <w:bCs/>
                <w:color w:val="auto"/>
                <w:sz w:val="24"/>
              </w:rPr>
              <w:t>评标打分部分仍按照100分制原则进行，涉及到资格审查、企业荣誉等计分部分时，以投标供应商自行上传到投标文件中的相应内容为准。</w:t>
            </w:r>
          </w:p>
        </w:tc>
      </w:tr>
    </w:tbl>
    <w:p w14:paraId="025BAB35">
      <w:pPr>
        <w:spacing w:line="360" w:lineRule="auto"/>
        <w:ind w:firstLine="482" w:firstLineChars="200"/>
        <w:jc w:val="left"/>
        <w:rPr>
          <w:rFonts w:ascii="宋体" w:hAnsi="宋体" w:cs="宋体"/>
          <w:color w:val="auto"/>
          <w:sz w:val="24"/>
        </w:rPr>
      </w:pPr>
      <w:r>
        <w:rPr>
          <w:rFonts w:hint="eastAsia" w:ascii="宋体" w:hAnsi="宋体" w:cs="宋体"/>
          <w:b/>
          <w:color w:val="auto"/>
          <w:sz w:val="24"/>
        </w:rPr>
        <w:t>1.评标方法</w:t>
      </w:r>
    </w:p>
    <w:p w14:paraId="29F2DF0E">
      <w:pPr>
        <w:spacing w:line="360" w:lineRule="auto"/>
        <w:ind w:firstLine="480" w:firstLineChars="200"/>
        <w:jc w:val="left"/>
        <w:rPr>
          <w:rFonts w:ascii="宋体" w:hAnsi="宋体" w:cs="宋体"/>
          <w:color w:val="auto"/>
          <w:sz w:val="24"/>
        </w:rPr>
      </w:pPr>
      <w:r>
        <w:rPr>
          <w:rFonts w:hint="eastAsia" w:ascii="宋体" w:hAnsi="宋体" w:cs="宋体"/>
          <w:color w:val="auto"/>
          <w:sz w:val="24"/>
        </w:rPr>
        <w:t>（1）本次评标采用综合评分法。</w:t>
      </w:r>
    </w:p>
    <w:p w14:paraId="2FDA4C9F">
      <w:pPr>
        <w:spacing w:line="360" w:lineRule="auto"/>
        <w:ind w:firstLine="480" w:firstLineChars="200"/>
        <w:jc w:val="left"/>
        <w:rPr>
          <w:rFonts w:ascii="宋体" w:hAnsi="宋体" w:cs="宋体"/>
          <w:color w:val="auto"/>
          <w:sz w:val="24"/>
        </w:rPr>
      </w:pPr>
      <w:r>
        <w:rPr>
          <w:rFonts w:hint="eastAsia" w:ascii="宋体" w:hAnsi="宋体" w:cs="宋体"/>
          <w:color w:val="auto"/>
          <w:sz w:val="24"/>
        </w:rPr>
        <w:t>（2）评标委员会对满足招标文件实质性要求的投标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2862EFFC">
      <w:pPr>
        <w:spacing w:line="360" w:lineRule="auto"/>
        <w:ind w:firstLine="480" w:firstLineChars="200"/>
        <w:jc w:val="left"/>
        <w:rPr>
          <w:rFonts w:ascii="宋体" w:hAnsi="宋体" w:cs="宋体"/>
          <w:color w:val="auto"/>
          <w:sz w:val="24"/>
        </w:rPr>
      </w:pPr>
      <w:r>
        <w:rPr>
          <w:rFonts w:hint="eastAsia" w:ascii="宋体" w:hAnsi="宋体" w:cs="宋体"/>
          <w:color w:val="auto"/>
          <w:sz w:val="24"/>
        </w:rPr>
        <w:t>投标文件满足招标文件全部实质性要求，且按照评审因素的量化指标评审得分最高的投标人为排名第一的中标候选人。</w:t>
      </w:r>
    </w:p>
    <w:p w14:paraId="3D7B6FA0">
      <w:pPr>
        <w:spacing w:line="500" w:lineRule="exact"/>
        <w:ind w:firstLine="482" w:firstLineChars="200"/>
        <w:rPr>
          <w:rFonts w:ascii="宋体" w:hAnsi="宋体" w:cs="宋体"/>
          <w:b/>
          <w:color w:val="auto"/>
          <w:sz w:val="24"/>
        </w:rPr>
      </w:pPr>
      <w:r>
        <w:rPr>
          <w:rFonts w:hint="eastAsia" w:ascii="宋体" w:hAnsi="宋体" w:cs="宋体"/>
          <w:b/>
          <w:color w:val="auto"/>
          <w:sz w:val="24"/>
        </w:rPr>
        <w:t>2. 评审标准</w:t>
      </w:r>
    </w:p>
    <w:p w14:paraId="62721CC7">
      <w:pPr>
        <w:spacing w:line="500" w:lineRule="exact"/>
        <w:ind w:firstLine="480" w:firstLineChars="200"/>
        <w:rPr>
          <w:rFonts w:ascii="宋体" w:hAnsi="宋体" w:cs="宋体"/>
          <w:color w:val="auto"/>
          <w:sz w:val="24"/>
        </w:rPr>
      </w:pPr>
      <w:r>
        <w:rPr>
          <w:rFonts w:hint="eastAsia" w:ascii="宋体" w:hAnsi="宋体" w:cs="宋体"/>
          <w:color w:val="auto"/>
          <w:sz w:val="24"/>
        </w:rPr>
        <w:t>2.1 初步评审标准</w:t>
      </w:r>
    </w:p>
    <w:p w14:paraId="3AF99952">
      <w:pPr>
        <w:spacing w:line="500" w:lineRule="exact"/>
        <w:ind w:firstLine="480" w:firstLineChars="200"/>
        <w:rPr>
          <w:rFonts w:ascii="宋体" w:hAnsi="宋体" w:cs="宋体"/>
          <w:color w:val="auto"/>
          <w:sz w:val="24"/>
        </w:rPr>
      </w:pPr>
      <w:r>
        <w:rPr>
          <w:rFonts w:hint="eastAsia" w:ascii="宋体" w:hAnsi="宋体" w:cs="宋体"/>
          <w:color w:val="auto"/>
          <w:sz w:val="24"/>
        </w:rPr>
        <w:t>2.1.1 符合性评审标准：见评标办法前附表。</w:t>
      </w:r>
    </w:p>
    <w:p w14:paraId="1B0A9BD5">
      <w:pPr>
        <w:spacing w:line="500" w:lineRule="exact"/>
        <w:ind w:firstLine="480" w:firstLineChars="200"/>
        <w:rPr>
          <w:rFonts w:ascii="宋体" w:hAnsi="宋体" w:cs="宋体"/>
          <w:color w:val="auto"/>
          <w:sz w:val="24"/>
        </w:rPr>
      </w:pPr>
      <w:r>
        <w:rPr>
          <w:rFonts w:hint="eastAsia" w:ascii="宋体" w:hAnsi="宋体" w:cs="宋体"/>
          <w:color w:val="auto"/>
          <w:sz w:val="24"/>
        </w:rPr>
        <w:t>2.1.2 响应性评审标准：见评标办法前附表。</w:t>
      </w:r>
    </w:p>
    <w:p w14:paraId="55484FF8">
      <w:pPr>
        <w:spacing w:line="500" w:lineRule="exact"/>
        <w:ind w:firstLine="480" w:firstLineChars="200"/>
        <w:rPr>
          <w:rFonts w:ascii="宋体" w:hAnsi="宋体" w:cs="宋体"/>
          <w:color w:val="auto"/>
          <w:sz w:val="24"/>
        </w:rPr>
      </w:pPr>
      <w:r>
        <w:rPr>
          <w:rFonts w:hint="eastAsia" w:ascii="宋体" w:hAnsi="宋体" w:cs="宋体"/>
          <w:color w:val="auto"/>
          <w:sz w:val="24"/>
        </w:rPr>
        <w:t>2.2 分值构成与评分标准</w:t>
      </w:r>
    </w:p>
    <w:p w14:paraId="3F1AD639">
      <w:pPr>
        <w:spacing w:line="500" w:lineRule="exact"/>
        <w:ind w:firstLine="480" w:firstLineChars="200"/>
        <w:rPr>
          <w:rFonts w:ascii="宋体" w:hAnsi="宋体" w:cs="宋体"/>
          <w:color w:val="auto"/>
          <w:sz w:val="24"/>
        </w:rPr>
      </w:pPr>
      <w:r>
        <w:rPr>
          <w:rFonts w:hint="eastAsia" w:ascii="宋体" w:hAnsi="宋体" w:cs="宋体"/>
          <w:color w:val="auto"/>
          <w:sz w:val="24"/>
        </w:rPr>
        <w:t>2.2.1 分值构成</w:t>
      </w:r>
    </w:p>
    <w:p w14:paraId="6CF71551">
      <w:pPr>
        <w:spacing w:line="500" w:lineRule="exact"/>
        <w:ind w:firstLine="480" w:firstLineChars="200"/>
        <w:rPr>
          <w:rFonts w:ascii="宋体" w:hAnsi="宋体" w:cs="宋体"/>
          <w:color w:val="auto"/>
          <w:sz w:val="24"/>
        </w:rPr>
      </w:pPr>
      <w:r>
        <w:rPr>
          <w:rFonts w:hint="eastAsia" w:ascii="宋体" w:hAnsi="宋体" w:cs="宋体"/>
          <w:color w:val="auto"/>
          <w:sz w:val="24"/>
        </w:rPr>
        <w:t>（1）投标报价的权重占30%</w:t>
      </w:r>
    </w:p>
    <w:p w14:paraId="21F1CC49">
      <w:pPr>
        <w:spacing w:line="500" w:lineRule="exact"/>
        <w:ind w:firstLine="480" w:firstLineChars="200"/>
        <w:rPr>
          <w:rFonts w:ascii="宋体" w:hAnsi="宋体" w:cs="宋体"/>
          <w:color w:val="auto"/>
          <w:sz w:val="24"/>
        </w:rPr>
      </w:pPr>
      <w:r>
        <w:rPr>
          <w:rFonts w:hint="eastAsia" w:ascii="宋体" w:hAnsi="宋体" w:cs="宋体"/>
          <w:color w:val="auto"/>
          <w:sz w:val="24"/>
        </w:rPr>
        <w:t>（2）技术部分的权重占5</w:t>
      </w:r>
      <w:r>
        <w:rPr>
          <w:rFonts w:hint="eastAsia" w:ascii="宋体" w:hAnsi="宋体" w:cs="宋体"/>
          <w:color w:val="auto"/>
          <w:sz w:val="24"/>
          <w:lang w:val="en-US" w:eastAsia="zh-CN"/>
        </w:rPr>
        <w:t>0</w:t>
      </w:r>
      <w:r>
        <w:rPr>
          <w:rFonts w:hint="eastAsia" w:ascii="宋体" w:hAnsi="宋体" w:cs="宋体"/>
          <w:color w:val="auto"/>
          <w:sz w:val="24"/>
        </w:rPr>
        <w:t>%</w:t>
      </w:r>
    </w:p>
    <w:p w14:paraId="23B05FA3">
      <w:pPr>
        <w:spacing w:line="500" w:lineRule="exact"/>
        <w:ind w:firstLine="480" w:firstLineChars="200"/>
        <w:rPr>
          <w:rFonts w:ascii="宋体" w:hAnsi="宋体" w:cs="宋体"/>
          <w:color w:val="auto"/>
          <w:sz w:val="24"/>
        </w:rPr>
      </w:pPr>
      <w:r>
        <w:rPr>
          <w:rFonts w:hint="eastAsia" w:ascii="宋体" w:hAnsi="宋体" w:cs="宋体"/>
          <w:color w:val="auto"/>
          <w:sz w:val="24"/>
        </w:rPr>
        <w:t>（3）商务部分的权重占</w:t>
      </w:r>
      <w:r>
        <w:rPr>
          <w:rFonts w:hint="eastAsia" w:ascii="宋体" w:hAnsi="宋体" w:cs="宋体"/>
          <w:color w:val="auto"/>
          <w:sz w:val="24"/>
          <w:lang w:val="en-US" w:eastAsia="zh-CN"/>
        </w:rPr>
        <w:t>20</w:t>
      </w:r>
      <w:r>
        <w:rPr>
          <w:rFonts w:hint="eastAsia" w:ascii="宋体" w:hAnsi="宋体" w:cs="宋体"/>
          <w:color w:val="auto"/>
          <w:sz w:val="24"/>
        </w:rPr>
        <w:t>%</w:t>
      </w:r>
    </w:p>
    <w:p w14:paraId="56189373">
      <w:pPr>
        <w:spacing w:line="500" w:lineRule="exact"/>
        <w:ind w:firstLine="480" w:firstLineChars="200"/>
        <w:rPr>
          <w:rFonts w:ascii="宋体" w:hAnsi="宋体" w:cs="宋体"/>
          <w:color w:val="auto"/>
          <w:sz w:val="24"/>
        </w:rPr>
      </w:pPr>
      <w:r>
        <w:rPr>
          <w:rFonts w:hint="eastAsia" w:ascii="宋体" w:hAnsi="宋体" w:cs="宋体"/>
          <w:color w:val="auto"/>
          <w:sz w:val="24"/>
        </w:rPr>
        <w:t>2.2.2 评标基准价计算</w:t>
      </w:r>
    </w:p>
    <w:p w14:paraId="06D57058">
      <w:pPr>
        <w:spacing w:line="500" w:lineRule="exact"/>
        <w:ind w:firstLine="480" w:firstLineChars="200"/>
        <w:rPr>
          <w:rFonts w:ascii="宋体" w:hAnsi="宋体" w:cs="宋体"/>
          <w:color w:val="auto"/>
          <w:sz w:val="24"/>
        </w:rPr>
      </w:pPr>
      <w:r>
        <w:rPr>
          <w:rFonts w:hint="eastAsia" w:ascii="宋体" w:hAnsi="宋体" w:cs="宋体"/>
          <w:color w:val="auto"/>
          <w:sz w:val="24"/>
        </w:rPr>
        <w:t>评标基准价计算方法：见评标办法前附表。</w:t>
      </w:r>
    </w:p>
    <w:p w14:paraId="45336B00">
      <w:pPr>
        <w:spacing w:line="500" w:lineRule="exact"/>
        <w:ind w:firstLine="480" w:firstLineChars="200"/>
        <w:rPr>
          <w:rFonts w:ascii="宋体" w:hAnsi="宋体" w:cs="宋体"/>
          <w:color w:val="auto"/>
          <w:sz w:val="24"/>
        </w:rPr>
      </w:pPr>
      <w:r>
        <w:rPr>
          <w:rFonts w:hint="eastAsia" w:ascii="宋体" w:hAnsi="宋体" w:cs="宋体"/>
          <w:color w:val="auto"/>
          <w:sz w:val="24"/>
        </w:rPr>
        <w:t>2.2.3 评分标准</w:t>
      </w:r>
    </w:p>
    <w:p w14:paraId="33995A77">
      <w:pPr>
        <w:spacing w:line="500" w:lineRule="exact"/>
        <w:ind w:firstLine="480" w:firstLineChars="200"/>
        <w:rPr>
          <w:rFonts w:ascii="宋体" w:hAnsi="宋体" w:cs="宋体"/>
          <w:color w:val="auto"/>
          <w:sz w:val="24"/>
        </w:rPr>
      </w:pPr>
      <w:r>
        <w:rPr>
          <w:rFonts w:hint="eastAsia" w:ascii="宋体" w:hAnsi="宋体" w:cs="宋体"/>
          <w:color w:val="auto"/>
          <w:sz w:val="24"/>
        </w:rPr>
        <w:t>见评标办法前附表。</w:t>
      </w:r>
    </w:p>
    <w:p w14:paraId="60878EA5">
      <w:pPr>
        <w:spacing w:line="500" w:lineRule="exact"/>
        <w:ind w:firstLine="482" w:firstLineChars="200"/>
        <w:rPr>
          <w:rFonts w:ascii="宋体" w:hAnsi="宋体" w:cs="宋体"/>
          <w:b/>
          <w:color w:val="auto"/>
          <w:sz w:val="24"/>
        </w:rPr>
      </w:pPr>
      <w:r>
        <w:rPr>
          <w:rFonts w:hint="eastAsia" w:ascii="宋体" w:hAnsi="宋体" w:cs="宋体"/>
          <w:b/>
          <w:color w:val="auto"/>
          <w:sz w:val="24"/>
        </w:rPr>
        <w:t>3. 评标程序</w:t>
      </w:r>
    </w:p>
    <w:p w14:paraId="1AB9CB72">
      <w:pPr>
        <w:spacing w:line="500" w:lineRule="exact"/>
        <w:ind w:firstLine="480" w:firstLineChars="200"/>
        <w:rPr>
          <w:rFonts w:ascii="宋体" w:hAnsi="宋体"/>
          <w:color w:val="auto"/>
          <w:sz w:val="24"/>
        </w:rPr>
      </w:pPr>
      <w:r>
        <w:rPr>
          <w:rFonts w:hint="eastAsia" w:ascii="宋体" w:hAnsi="宋体"/>
          <w:color w:val="auto"/>
          <w:sz w:val="24"/>
        </w:rPr>
        <w:t>3.1 初步评审</w:t>
      </w:r>
    </w:p>
    <w:p w14:paraId="1B55C1C2">
      <w:pPr>
        <w:spacing w:line="500" w:lineRule="exact"/>
        <w:ind w:firstLine="480" w:firstLineChars="200"/>
        <w:rPr>
          <w:rFonts w:ascii="宋体" w:hAnsi="宋体"/>
          <w:color w:val="auto"/>
          <w:sz w:val="24"/>
        </w:rPr>
      </w:pPr>
      <w:r>
        <w:rPr>
          <w:rFonts w:hint="eastAsia" w:ascii="宋体" w:hAnsi="宋体"/>
          <w:color w:val="auto"/>
          <w:sz w:val="24"/>
        </w:rPr>
        <w:t>3.1.1</w:t>
      </w:r>
      <w:r>
        <w:rPr>
          <w:rFonts w:hint="eastAsia" w:ascii="宋体" w:hAnsi="宋体"/>
          <w:color w:val="auto"/>
          <w:sz w:val="24"/>
          <w:lang w:eastAsia="zh-CN"/>
        </w:rPr>
        <w:t>采购人</w:t>
      </w:r>
      <w:r>
        <w:rPr>
          <w:rFonts w:hint="eastAsia" w:ascii="宋体" w:hAnsi="宋体"/>
          <w:color w:val="auto"/>
          <w:sz w:val="24"/>
        </w:rPr>
        <w:t>根据本章规定得资格评审办法对供应商进行资格审查，通过资格审查得供应商由评标委员会依据本章规定的评审标准对投标文件进行符合性评审、响应性评审。有一项不符合评审标准的，将被否决投标。</w:t>
      </w:r>
    </w:p>
    <w:p w14:paraId="7D826588">
      <w:pPr>
        <w:spacing w:line="500" w:lineRule="exact"/>
        <w:ind w:firstLine="480" w:firstLineChars="200"/>
        <w:rPr>
          <w:rFonts w:ascii="宋体" w:hAnsi="宋体"/>
          <w:color w:val="auto"/>
          <w:sz w:val="24"/>
        </w:rPr>
      </w:pPr>
      <w:r>
        <w:rPr>
          <w:rFonts w:hint="eastAsia" w:ascii="宋体" w:hAnsi="宋体"/>
          <w:color w:val="auto"/>
          <w:sz w:val="24"/>
        </w:rPr>
        <w:t>3.1.2 投标供应商有以下情形之一的，其投标将予以否决投标：</w:t>
      </w:r>
    </w:p>
    <w:p w14:paraId="24692C92">
      <w:pPr>
        <w:spacing w:line="500" w:lineRule="exact"/>
        <w:ind w:firstLine="480" w:firstLineChars="200"/>
        <w:rPr>
          <w:rFonts w:ascii="宋体" w:hAnsi="宋体"/>
          <w:color w:val="auto"/>
          <w:sz w:val="24"/>
        </w:rPr>
      </w:pPr>
      <w:r>
        <w:rPr>
          <w:rFonts w:hint="eastAsia" w:ascii="宋体" w:hAnsi="宋体"/>
          <w:color w:val="auto"/>
          <w:sz w:val="24"/>
        </w:rPr>
        <w:t>（1）串通投标或弄虚作假或有其他违法行为的；</w:t>
      </w:r>
    </w:p>
    <w:p w14:paraId="57575637">
      <w:pPr>
        <w:spacing w:line="500" w:lineRule="exact"/>
        <w:ind w:firstLine="480" w:firstLineChars="200"/>
        <w:rPr>
          <w:rFonts w:ascii="宋体" w:hAnsi="宋体"/>
          <w:color w:val="auto"/>
          <w:sz w:val="24"/>
        </w:rPr>
      </w:pPr>
      <w:r>
        <w:rPr>
          <w:rFonts w:hint="eastAsia" w:ascii="宋体" w:hAnsi="宋体"/>
          <w:color w:val="auto"/>
          <w:sz w:val="24"/>
        </w:rPr>
        <w:t>（2）不按评标委员会要求澄清、说明或补正的。</w:t>
      </w:r>
    </w:p>
    <w:p w14:paraId="0656F537">
      <w:pPr>
        <w:spacing w:line="500" w:lineRule="exact"/>
        <w:ind w:firstLine="480" w:firstLineChars="200"/>
        <w:rPr>
          <w:rFonts w:ascii="宋体" w:hAnsi="宋体"/>
          <w:color w:val="auto"/>
          <w:sz w:val="24"/>
        </w:rPr>
      </w:pPr>
      <w:r>
        <w:rPr>
          <w:rFonts w:hint="eastAsia" w:ascii="宋体" w:hAnsi="宋体"/>
          <w:color w:val="auto"/>
          <w:sz w:val="24"/>
        </w:rPr>
        <w:t>3.1.3投标报价有算术错误的，评标委员会按以下原则对投标报价进行修正，修正的价格经投标供应商书面确认后具有约束力。投标供应商不接受修正价格的，其投标不予评审。</w:t>
      </w:r>
    </w:p>
    <w:p w14:paraId="6079D330">
      <w:pPr>
        <w:spacing w:line="500" w:lineRule="exact"/>
        <w:ind w:firstLine="480" w:firstLineChars="200"/>
        <w:rPr>
          <w:rFonts w:ascii="宋体" w:hAnsi="宋体"/>
          <w:color w:val="auto"/>
          <w:sz w:val="24"/>
        </w:rPr>
      </w:pPr>
      <w:r>
        <w:rPr>
          <w:rFonts w:hint="eastAsia" w:ascii="宋体" w:hAnsi="宋体"/>
          <w:color w:val="auto"/>
          <w:sz w:val="24"/>
        </w:rPr>
        <w:t>投标文件中的大写金额与小写金额不一致的，以大写金额为准；</w:t>
      </w:r>
    </w:p>
    <w:p w14:paraId="7D746489">
      <w:pPr>
        <w:spacing w:line="500" w:lineRule="exact"/>
        <w:ind w:firstLine="480" w:firstLineChars="200"/>
        <w:rPr>
          <w:rFonts w:ascii="宋体" w:hAnsi="宋体"/>
          <w:color w:val="auto"/>
          <w:sz w:val="24"/>
        </w:rPr>
      </w:pPr>
      <w:r>
        <w:rPr>
          <w:rFonts w:hint="eastAsia" w:ascii="宋体" w:hAnsi="宋体"/>
          <w:color w:val="auto"/>
          <w:sz w:val="24"/>
        </w:rPr>
        <w:t>总价金额与依据单价计算出的结果不一致的，以单价金额为准修正总价，但单价金额小数点有明显错误的除外。</w:t>
      </w:r>
    </w:p>
    <w:p w14:paraId="74C2E0F9">
      <w:pPr>
        <w:spacing w:line="500" w:lineRule="exact"/>
        <w:ind w:firstLine="482" w:firstLineChars="200"/>
        <w:rPr>
          <w:rFonts w:ascii="宋体" w:hAnsi="宋体"/>
          <w:b/>
          <w:color w:val="auto"/>
          <w:sz w:val="24"/>
        </w:rPr>
      </w:pPr>
      <w:r>
        <w:rPr>
          <w:rFonts w:hint="eastAsia" w:ascii="宋体" w:hAnsi="宋体"/>
          <w:b/>
          <w:color w:val="auto"/>
          <w:sz w:val="24"/>
        </w:rPr>
        <w:t>3.2 详细评审</w:t>
      </w:r>
    </w:p>
    <w:p w14:paraId="4A3611DC">
      <w:pPr>
        <w:spacing w:line="500" w:lineRule="exact"/>
        <w:ind w:firstLine="480" w:firstLineChars="200"/>
        <w:rPr>
          <w:rFonts w:ascii="宋体" w:hAnsi="宋体"/>
          <w:color w:val="auto"/>
          <w:sz w:val="24"/>
        </w:rPr>
      </w:pPr>
      <w:r>
        <w:rPr>
          <w:rFonts w:hint="eastAsia" w:ascii="宋体" w:hAnsi="宋体"/>
          <w:color w:val="auto"/>
          <w:sz w:val="24"/>
        </w:rPr>
        <w:t>3.2.1 评标委员会按本章第2.2款规定的量化因素和分值进行打分，并计算出综合评分。</w:t>
      </w:r>
    </w:p>
    <w:p w14:paraId="386FAD64">
      <w:pPr>
        <w:spacing w:line="500" w:lineRule="exact"/>
        <w:ind w:firstLine="480" w:firstLineChars="200"/>
        <w:rPr>
          <w:rFonts w:ascii="宋体" w:hAnsi="宋体"/>
          <w:color w:val="auto"/>
          <w:sz w:val="24"/>
        </w:rPr>
      </w:pPr>
      <w:r>
        <w:rPr>
          <w:rFonts w:hint="eastAsia" w:ascii="宋体" w:hAnsi="宋体"/>
          <w:color w:val="auto"/>
          <w:sz w:val="24"/>
        </w:rPr>
        <w:t>3.2.2 评分分值计算保留小数点后两位，小数点后第三位“四舍五入”。</w:t>
      </w:r>
    </w:p>
    <w:p w14:paraId="7249D85F">
      <w:pPr>
        <w:spacing w:line="500" w:lineRule="exact"/>
        <w:ind w:firstLine="480" w:firstLineChars="200"/>
        <w:rPr>
          <w:rFonts w:hint="eastAsia" w:ascii="宋体" w:hAnsi="宋体"/>
          <w:color w:val="auto"/>
          <w:sz w:val="24"/>
        </w:rPr>
      </w:pPr>
      <w:r>
        <w:rPr>
          <w:rFonts w:hint="eastAsia" w:ascii="宋体" w:hAnsi="宋体"/>
          <w:color w:val="auto"/>
          <w:sz w:val="24"/>
        </w:rPr>
        <w:t>3.2.3投标供应商的报价明显低于其他投标报价，或者在设有最高限价时明显低于最高限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将予以否决处理。</w:t>
      </w:r>
    </w:p>
    <w:p w14:paraId="6B096DC1">
      <w:pPr>
        <w:pStyle w:val="14"/>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3.2.4同产品投标</w:t>
      </w:r>
    </w:p>
    <w:p w14:paraId="4EB96722">
      <w:pPr>
        <w:pStyle w:val="14"/>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29B5EB5">
      <w:pPr>
        <w:pStyle w:val="14"/>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9727C70">
      <w:pPr>
        <w:pStyle w:val="14"/>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非单一产品采购项目，采购人应当根据采购项目技术构成、产品价格比重等合理确定核心产品，并在招标文件中载明。多家投标人提供的核心产品品牌相同的，按前两款规定处理。</w:t>
      </w:r>
    </w:p>
    <w:p w14:paraId="49F82F03">
      <w:pPr>
        <w:spacing w:line="500" w:lineRule="exact"/>
        <w:ind w:firstLine="482" w:firstLineChars="200"/>
        <w:rPr>
          <w:rFonts w:ascii="宋体" w:hAnsi="宋体"/>
          <w:b/>
          <w:color w:val="auto"/>
          <w:sz w:val="24"/>
        </w:rPr>
      </w:pPr>
      <w:r>
        <w:rPr>
          <w:rFonts w:hint="eastAsia" w:ascii="宋体" w:hAnsi="宋体"/>
          <w:b/>
          <w:color w:val="auto"/>
          <w:sz w:val="24"/>
        </w:rPr>
        <w:t>3.3 投标文件的澄清和补正</w:t>
      </w:r>
    </w:p>
    <w:p w14:paraId="65982B1D">
      <w:pPr>
        <w:spacing w:line="500" w:lineRule="exact"/>
        <w:ind w:firstLine="480" w:firstLineChars="200"/>
        <w:rPr>
          <w:rFonts w:ascii="宋体" w:hAnsi="宋体"/>
          <w:color w:val="auto"/>
          <w:sz w:val="24"/>
        </w:rPr>
      </w:pPr>
      <w:r>
        <w:rPr>
          <w:rFonts w:hint="eastAsia" w:ascii="宋体" w:hAnsi="宋体"/>
          <w:color w:val="auto"/>
          <w:sz w:val="24"/>
        </w:rPr>
        <w:t>3.3.1在评标过程中，评标委员会可以书面形式要求投标供应商对所提交投标文件中不明确的内容进行书面澄清或说明，或者对细微偏差进行补正。评标委员会不接受投标供应商主动提出的澄清、说明或补正。</w:t>
      </w:r>
    </w:p>
    <w:p w14:paraId="4B6C32A9">
      <w:pPr>
        <w:spacing w:line="500" w:lineRule="exact"/>
        <w:ind w:firstLine="480" w:firstLineChars="200"/>
        <w:rPr>
          <w:rFonts w:ascii="宋体" w:hAnsi="宋体"/>
          <w:color w:val="auto"/>
          <w:sz w:val="24"/>
        </w:rPr>
      </w:pPr>
      <w:r>
        <w:rPr>
          <w:rFonts w:hint="eastAsia" w:ascii="宋体" w:hAnsi="宋体"/>
          <w:color w:val="auto"/>
          <w:sz w:val="24"/>
        </w:rPr>
        <w:t>3.3.2 澄清、说明和补正不得改变投标文件的实质性内容（算术性错误修正的除外）。投标供应商的书面澄清、说明和补正属于投标文件的组成部分。</w:t>
      </w:r>
    </w:p>
    <w:p w14:paraId="6D7D4FF3">
      <w:pPr>
        <w:spacing w:line="500" w:lineRule="exact"/>
        <w:ind w:firstLine="480" w:firstLineChars="200"/>
        <w:rPr>
          <w:rFonts w:ascii="宋体" w:hAnsi="宋体"/>
          <w:color w:val="auto"/>
          <w:sz w:val="24"/>
        </w:rPr>
      </w:pPr>
      <w:r>
        <w:rPr>
          <w:rFonts w:hint="eastAsia" w:ascii="宋体" w:hAnsi="宋体"/>
          <w:color w:val="auto"/>
          <w:sz w:val="24"/>
        </w:rPr>
        <w:t>3.3.3 评标委员会对投标供应商提交的澄清、说明或补正有疑问的，可以要求投标供应商进一步澄清、说明或补正，直至满足评标委员会的要求。</w:t>
      </w:r>
    </w:p>
    <w:p w14:paraId="6E6E205D">
      <w:pPr>
        <w:spacing w:line="500" w:lineRule="exact"/>
        <w:ind w:firstLine="482" w:firstLineChars="200"/>
        <w:rPr>
          <w:rFonts w:ascii="宋体" w:hAnsi="宋体"/>
          <w:b/>
          <w:color w:val="auto"/>
          <w:sz w:val="24"/>
        </w:rPr>
      </w:pPr>
      <w:r>
        <w:rPr>
          <w:rFonts w:hint="eastAsia" w:ascii="宋体" w:hAnsi="宋体"/>
          <w:b/>
          <w:color w:val="auto"/>
          <w:sz w:val="24"/>
        </w:rPr>
        <w:t>3.4</w:t>
      </w:r>
      <w:r>
        <w:rPr>
          <w:rFonts w:hint="eastAsia" w:ascii="宋体" w:hAnsi="宋体" w:cs="宋体"/>
          <w:b/>
          <w:bCs/>
          <w:color w:val="auto"/>
          <w:sz w:val="24"/>
        </w:rPr>
        <w:t>评标结果</w:t>
      </w:r>
    </w:p>
    <w:p w14:paraId="01C675CB">
      <w:pPr>
        <w:spacing w:line="360" w:lineRule="auto"/>
        <w:ind w:firstLine="480" w:firstLineChars="200"/>
        <w:jc w:val="left"/>
        <w:rPr>
          <w:rFonts w:ascii="宋体" w:hAnsi="宋体" w:cs="宋体"/>
          <w:color w:val="auto"/>
          <w:sz w:val="24"/>
        </w:rPr>
      </w:pPr>
      <w:r>
        <w:rPr>
          <w:rFonts w:hint="eastAsia" w:ascii="宋体" w:hAnsi="宋体" w:cs="宋体"/>
          <w:color w:val="auto"/>
          <w:sz w:val="24"/>
        </w:rPr>
        <w:t>3.4.1 除第二章“投标人须知”前附表授权直接确定中标人外，评标委员会按照得分由高到低的顺序推荐中标候选人。</w:t>
      </w:r>
    </w:p>
    <w:p w14:paraId="044B343D">
      <w:pPr>
        <w:spacing w:line="360" w:lineRule="auto"/>
        <w:ind w:firstLine="480" w:firstLineChars="200"/>
        <w:jc w:val="left"/>
        <w:rPr>
          <w:rFonts w:ascii="宋体" w:hAnsi="宋体" w:cs="宋体"/>
          <w:color w:val="auto"/>
          <w:sz w:val="24"/>
        </w:rPr>
      </w:pPr>
      <w:r>
        <w:rPr>
          <w:rFonts w:hint="eastAsia" w:ascii="宋体" w:hAnsi="宋体" w:cs="宋体"/>
          <w:color w:val="auto"/>
          <w:sz w:val="24"/>
        </w:rPr>
        <w:t>3.4.2 采购代理机构应当在评标结束后2个工作日内将评标报告送</w:t>
      </w:r>
      <w:r>
        <w:rPr>
          <w:rFonts w:hint="eastAsia" w:ascii="宋体" w:hAnsi="宋体" w:cs="宋体"/>
          <w:color w:val="auto"/>
          <w:sz w:val="24"/>
          <w:lang w:eastAsia="zh-CN"/>
        </w:rPr>
        <w:t>采购人</w:t>
      </w:r>
      <w:r>
        <w:rPr>
          <w:rFonts w:hint="eastAsia" w:ascii="宋体" w:hAnsi="宋体" w:cs="宋体"/>
          <w:color w:val="auto"/>
          <w:sz w:val="24"/>
        </w:rPr>
        <w:t>；</w:t>
      </w:r>
    </w:p>
    <w:p w14:paraId="6A41E152">
      <w:pPr>
        <w:spacing w:line="360" w:lineRule="auto"/>
        <w:ind w:firstLine="480" w:firstLineChars="200"/>
        <w:jc w:val="left"/>
        <w:rPr>
          <w:rFonts w:hint="eastAsia" w:ascii="宋体" w:hAnsi="宋体" w:eastAsia="宋体" w:cs="宋体"/>
          <w:color w:val="auto"/>
          <w:sz w:val="24"/>
        </w:rPr>
      </w:pPr>
      <w:r>
        <w:rPr>
          <w:rFonts w:hint="eastAsia" w:ascii="宋体" w:hAnsi="宋体" w:cs="宋体"/>
          <w:color w:val="auto"/>
          <w:sz w:val="24"/>
        </w:rPr>
        <w:t xml:space="preserve">3.4.3 </w:t>
      </w:r>
      <w:r>
        <w:rPr>
          <w:rFonts w:hint="eastAsia" w:ascii="宋体" w:hAnsi="宋体" w:cs="宋体"/>
          <w:color w:val="auto"/>
          <w:sz w:val="24"/>
          <w:lang w:eastAsia="zh-CN"/>
        </w:rPr>
        <w:t>采购人</w:t>
      </w:r>
      <w:r>
        <w:rPr>
          <w:rFonts w:hint="eastAsia" w:ascii="宋体" w:hAnsi="宋体" w:cs="宋体"/>
          <w:color w:val="auto"/>
          <w:sz w:val="24"/>
        </w:rPr>
        <w:t>应当自收到评标报告之日起5个工作日内，在评标报告确定的中标候选人名单中按顺序确定中标人。中标候选人并列的，由</w:t>
      </w:r>
      <w:r>
        <w:rPr>
          <w:rFonts w:hint="eastAsia" w:ascii="宋体" w:hAnsi="宋体" w:cs="宋体"/>
          <w:color w:val="auto"/>
          <w:sz w:val="24"/>
          <w:lang w:eastAsia="zh-CN"/>
        </w:rPr>
        <w:t>采购人</w:t>
      </w:r>
      <w:r>
        <w:rPr>
          <w:rFonts w:hint="eastAsia" w:ascii="宋体" w:hAnsi="宋体" w:cs="宋体"/>
          <w:color w:val="auto"/>
          <w:sz w:val="24"/>
        </w:rPr>
        <w:t>或者</w:t>
      </w:r>
      <w:r>
        <w:rPr>
          <w:rFonts w:hint="eastAsia" w:ascii="宋体" w:hAnsi="宋体" w:cs="宋体"/>
          <w:color w:val="auto"/>
          <w:sz w:val="24"/>
          <w:lang w:eastAsia="zh-CN"/>
        </w:rPr>
        <w:t>采购人</w:t>
      </w:r>
      <w:r>
        <w:rPr>
          <w:rFonts w:hint="eastAsia" w:ascii="宋体" w:hAnsi="宋体" w:eastAsia="宋体" w:cs="宋体"/>
          <w:color w:val="auto"/>
          <w:sz w:val="24"/>
        </w:rPr>
        <w:t>委托评标委员会按照招标文件规定的方式确定中标人；招标文件未规定的，采取随机抽取的方式确定。</w:t>
      </w:r>
    </w:p>
    <w:p w14:paraId="1944D15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3.4.4 </w:t>
      </w:r>
      <w:r>
        <w:rPr>
          <w:rFonts w:hint="eastAsia" w:ascii="宋体" w:hAnsi="宋体" w:eastAsia="宋体" w:cs="宋体"/>
          <w:color w:val="auto"/>
          <w:sz w:val="24"/>
          <w:lang w:eastAsia="zh-CN"/>
        </w:rPr>
        <w:t>采购人</w:t>
      </w:r>
      <w:r>
        <w:rPr>
          <w:rFonts w:hint="eastAsia" w:ascii="宋体" w:hAnsi="宋体" w:eastAsia="宋体" w:cs="宋体"/>
          <w:color w:val="auto"/>
          <w:sz w:val="24"/>
        </w:rPr>
        <w:t>在收到评标报告5 个工作日内未按评标报告推荐的中标候选人顺序确定中标人，又不能说明合法理由的，视同按评标报告推荐的顺序确定排名第一的中标候选人为中标人。</w:t>
      </w:r>
    </w:p>
    <w:p w14:paraId="399413B7">
      <w:pPr>
        <w:spacing w:line="360" w:lineRule="auto"/>
        <w:ind w:firstLine="480" w:firstLineChars="200"/>
        <w:jc w:val="center"/>
        <w:outlineLvl w:val="0"/>
        <w:rPr>
          <w:rFonts w:hint="eastAsia"/>
          <w:color w:val="auto"/>
          <w:sz w:val="32"/>
          <w:szCs w:val="32"/>
        </w:rPr>
      </w:pPr>
      <w:r>
        <w:rPr>
          <w:rFonts w:hint="eastAsia" w:ascii="宋体" w:hAnsi="宋体" w:eastAsia="宋体" w:cs="宋体"/>
          <w:color w:val="auto"/>
          <w:sz w:val="24"/>
        </w:rPr>
        <w:br w:type="page"/>
      </w:r>
      <w:bookmarkStart w:id="81" w:name="_Toc23047"/>
      <w:bookmarkStart w:id="82" w:name="_Toc11512_WPSOffice_Level1"/>
      <w:bookmarkStart w:id="83" w:name="_Toc2414"/>
      <w:bookmarkStart w:id="84" w:name="_Toc26959_WPSOffice_Level1"/>
      <w:bookmarkStart w:id="85" w:name="_Toc13565_WPSOffice_Level1"/>
      <w:bookmarkStart w:id="86" w:name="_Toc6551_WPSOffice_Level1"/>
      <w:bookmarkStart w:id="87" w:name="_Toc16668"/>
      <w:r>
        <w:rPr>
          <w:rFonts w:hint="eastAsia" w:ascii="宋体" w:hAnsi="宋体" w:eastAsia="宋体" w:cs="宋体"/>
          <w:b/>
          <w:bCs/>
          <w:color w:val="auto"/>
          <w:kern w:val="0"/>
          <w:sz w:val="32"/>
          <w:szCs w:val="32"/>
          <w:lang w:val="en-US" w:eastAsia="zh-CN" w:bidi="ar"/>
        </w:rPr>
        <w:t>第五章  合同主要条款及格式</w:t>
      </w:r>
      <w:bookmarkEnd w:id="81"/>
      <w:bookmarkEnd w:id="82"/>
      <w:bookmarkEnd w:id="83"/>
      <w:bookmarkEnd w:id="84"/>
      <w:bookmarkEnd w:id="85"/>
      <w:bookmarkEnd w:id="86"/>
      <w:bookmarkEnd w:id="87"/>
    </w:p>
    <w:p w14:paraId="189F97AF">
      <w:pPr>
        <w:widowControl/>
        <w:spacing w:line="360" w:lineRule="auto"/>
        <w:jc w:val="center"/>
        <w:rPr>
          <w:rFonts w:ascii="宋体" w:hAnsi="宋体"/>
          <w:color w:val="000000"/>
          <w:sz w:val="28"/>
          <w:szCs w:val="28"/>
        </w:rPr>
      </w:pPr>
      <w:bookmarkStart w:id="88" w:name="_Toc28571"/>
      <w:bookmarkStart w:id="89" w:name="_Toc8905"/>
      <w:r>
        <w:rPr>
          <w:rFonts w:hint="eastAsia" w:ascii="宋体" w:hAnsi="宋体"/>
          <w:color w:val="000000"/>
          <w:sz w:val="28"/>
          <w:szCs w:val="28"/>
        </w:rPr>
        <w:t>（样本、仅供参考）</w:t>
      </w:r>
    </w:p>
    <w:p w14:paraId="5519A4E9">
      <w:pPr>
        <w:widowControl/>
        <w:snapToGrid w:val="0"/>
        <w:spacing w:line="520" w:lineRule="exact"/>
        <w:ind w:firstLine="482" w:firstLineChars="200"/>
        <w:jc w:val="center"/>
        <w:rPr>
          <w:rFonts w:ascii="宋体" w:hAnsi="宋体" w:cs="宋体"/>
          <w:sz w:val="24"/>
          <w:szCs w:val="24"/>
        </w:rPr>
      </w:pPr>
      <w:r>
        <w:rPr>
          <w:rFonts w:hint="eastAsia" w:ascii="宋体" w:hAnsi="宋体" w:cs="宋体"/>
          <w:b/>
          <w:bCs/>
          <w:sz w:val="24"/>
          <w:szCs w:val="24"/>
        </w:rPr>
        <w:t>（</w:t>
      </w:r>
      <w:r>
        <w:rPr>
          <w:rFonts w:hint="eastAsia" w:ascii="宋体" w:hAnsi="宋体" w:cs="宋体"/>
          <w:sz w:val="24"/>
          <w:szCs w:val="24"/>
        </w:rPr>
        <w:t>本合同仅供参考，具体</w:t>
      </w:r>
      <w:r>
        <w:rPr>
          <w:rFonts w:hint="eastAsia" w:ascii="宋体" w:hAnsi="宋体" w:cs="宋体"/>
          <w:kern w:val="2"/>
          <w:sz w:val="24"/>
          <w:szCs w:val="24"/>
        </w:rPr>
        <w:t>由业主和中标单共同协商签订</w:t>
      </w:r>
      <w:r>
        <w:rPr>
          <w:rFonts w:hint="eastAsia" w:ascii="宋体" w:hAnsi="宋体" w:cs="宋体"/>
          <w:b/>
          <w:bCs/>
          <w:sz w:val="24"/>
          <w:szCs w:val="24"/>
        </w:rPr>
        <w:t>）</w:t>
      </w:r>
    </w:p>
    <w:p w14:paraId="2BF6FCDD">
      <w:pPr>
        <w:spacing w:line="360" w:lineRule="auto"/>
        <w:ind w:firstLine="480" w:firstLineChars="200"/>
        <w:rPr>
          <w:rFonts w:ascii="宋体" w:hAnsi="宋体"/>
          <w:sz w:val="24"/>
          <w:szCs w:val="24"/>
        </w:rPr>
      </w:pPr>
      <w:r>
        <w:rPr>
          <w:rFonts w:hint="eastAsia" w:ascii="宋体" w:hAnsi="宋体"/>
          <w:sz w:val="24"/>
          <w:szCs w:val="24"/>
        </w:rPr>
        <w:t>需       方：</w:t>
      </w:r>
    </w:p>
    <w:p w14:paraId="7080FD08">
      <w:pPr>
        <w:spacing w:line="360" w:lineRule="auto"/>
        <w:ind w:firstLine="480" w:firstLineChars="200"/>
        <w:rPr>
          <w:rFonts w:ascii="宋体" w:hAnsi="宋体"/>
          <w:sz w:val="24"/>
          <w:szCs w:val="24"/>
        </w:rPr>
      </w:pPr>
    </w:p>
    <w:p w14:paraId="7907981D">
      <w:pPr>
        <w:spacing w:line="360" w:lineRule="auto"/>
        <w:ind w:firstLine="480" w:firstLineChars="200"/>
        <w:rPr>
          <w:rFonts w:ascii="宋体" w:hAnsi="宋体"/>
          <w:sz w:val="24"/>
          <w:szCs w:val="24"/>
        </w:rPr>
      </w:pPr>
      <w:r>
        <w:rPr>
          <w:rFonts w:hint="eastAsia" w:ascii="宋体" w:hAnsi="宋体"/>
          <w:sz w:val="24"/>
          <w:szCs w:val="24"/>
        </w:rPr>
        <w:t>供       方：</w:t>
      </w:r>
    </w:p>
    <w:p w14:paraId="272895F2">
      <w:pPr>
        <w:spacing w:line="360" w:lineRule="auto"/>
        <w:ind w:firstLine="480" w:firstLineChars="200"/>
        <w:rPr>
          <w:rFonts w:ascii="宋体" w:hAnsi="宋体"/>
          <w:sz w:val="24"/>
          <w:szCs w:val="24"/>
        </w:rPr>
      </w:pPr>
      <w:r>
        <w:rPr>
          <w:rFonts w:hint="eastAsia" w:ascii="宋体" w:hAnsi="宋体"/>
          <w:sz w:val="24"/>
          <w:szCs w:val="24"/>
        </w:rPr>
        <w:t>供方在卢氏县民政局组织的</w:t>
      </w:r>
      <w:r>
        <w:rPr>
          <w:rFonts w:hint="eastAsia" w:ascii="宋体" w:hAnsi="宋体"/>
          <w:sz w:val="24"/>
          <w:szCs w:val="24"/>
          <w:lang w:val="zh-TW"/>
        </w:rPr>
        <w:t>卢氏县民政局202</w:t>
      </w:r>
      <w:r>
        <w:rPr>
          <w:rFonts w:hint="eastAsia" w:ascii="宋体" w:hAnsi="宋体"/>
          <w:sz w:val="24"/>
          <w:szCs w:val="24"/>
          <w:lang w:val="en-US" w:eastAsia="zh-CN"/>
        </w:rPr>
        <w:t>4</w:t>
      </w:r>
      <w:r>
        <w:rPr>
          <w:rFonts w:hint="eastAsia" w:ascii="宋体" w:hAnsi="宋体"/>
          <w:sz w:val="24"/>
          <w:szCs w:val="24"/>
          <w:lang w:val="zh-TW"/>
        </w:rPr>
        <w:t>年救助物资采购项目</w:t>
      </w:r>
      <w:r>
        <w:rPr>
          <w:rFonts w:hint="eastAsia" w:ascii="宋体" w:hAnsi="宋体"/>
          <w:sz w:val="24"/>
          <w:szCs w:val="24"/>
          <w:lang w:val="zh-TW" w:eastAsia="zh-CN"/>
        </w:rPr>
        <w:t>（</w:t>
      </w:r>
      <w:r>
        <w:rPr>
          <w:rFonts w:hint="eastAsia" w:ascii="宋体" w:hAnsi="宋体"/>
          <w:sz w:val="24"/>
          <w:szCs w:val="24"/>
          <w:lang w:val="en-US" w:eastAsia="zh-CN"/>
        </w:rPr>
        <w:t>二次</w:t>
      </w:r>
      <w:r>
        <w:rPr>
          <w:rFonts w:hint="eastAsia" w:ascii="宋体" w:hAnsi="宋体"/>
          <w:sz w:val="24"/>
          <w:szCs w:val="24"/>
          <w:lang w:val="zh-TW" w:eastAsia="zh-CN"/>
        </w:rPr>
        <w:t>）</w:t>
      </w:r>
      <w:r>
        <w:rPr>
          <w:rFonts w:hint="eastAsia" w:ascii="宋体" w:hAnsi="宋体"/>
          <w:sz w:val="24"/>
          <w:szCs w:val="24"/>
        </w:rPr>
        <w:t>采购中中标，经双方协商一致，签订本合同。</w:t>
      </w:r>
    </w:p>
    <w:p w14:paraId="694C804B">
      <w:pPr>
        <w:spacing w:line="360" w:lineRule="auto"/>
        <w:ind w:firstLine="480" w:firstLineChars="200"/>
        <w:rPr>
          <w:rFonts w:ascii="宋体" w:hAnsi="宋体"/>
          <w:sz w:val="24"/>
          <w:szCs w:val="24"/>
        </w:rPr>
      </w:pPr>
      <w:r>
        <w:rPr>
          <w:rFonts w:hint="eastAsia" w:ascii="宋体" w:hAnsi="宋体"/>
          <w:sz w:val="24"/>
          <w:szCs w:val="24"/>
        </w:rPr>
        <w:t>一、服务条款</w:t>
      </w:r>
    </w:p>
    <w:p w14:paraId="0B3DAADA">
      <w:pPr>
        <w:spacing w:line="360" w:lineRule="auto"/>
        <w:ind w:firstLine="480" w:firstLineChars="200"/>
        <w:rPr>
          <w:rFonts w:ascii="宋体" w:hAnsi="宋体"/>
          <w:sz w:val="24"/>
          <w:szCs w:val="24"/>
        </w:rPr>
      </w:pPr>
      <w:r>
        <w:rPr>
          <w:rFonts w:hint="eastAsia" w:ascii="宋体" w:hAnsi="宋体"/>
          <w:sz w:val="24"/>
          <w:szCs w:val="24"/>
        </w:rPr>
        <w:t xml:space="preserve">供方向需方提供    </w:t>
      </w:r>
    </w:p>
    <w:p w14:paraId="4750D7B2">
      <w:pPr>
        <w:spacing w:line="360" w:lineRule="auto"/>
        <w:ind w:firstLine="480" w:firstLineChars="200"/>
        <w:rPr>
          <w:rFonts w:ascii="宋体" w:hAnsi="宋体"/>
          <w:sz w:val="24"/>
          <w:szCs w:val="24"/>
        </w:rPr>
      </w:pPr>
      <w:r>
        <w:rPr>
          <w:rFonts w:hint="eastAsia" w:ascii="宋体" w:hAnsi="宋体"/>
          <w:sz w:val="24"/>
          <w:szCs w:val="24"/>
        </w:rPr>
        <w:t xml:space="preserve">1、                    </w:t>
      </w:r>
    </w:p>
    <w:p w14:paraId="05BF1594">
      <w:pPr>
        <w:spacing w:line="360" w:lineRule="auto"/>
        <w:ind w:firstLine="480" w:firstLineChars="200"/>
        <w:rPr>
          <w:rFonts w:ascii="宋体" w:hAnsi="宋体"/>
          <w:sz w:val="24"/>
          <w:szCs w:val="24"/>
        </w:rPr>
      </w:pPr>
      <w:r>
        <w:rPr>
          <w:rFonts w:hint="eastAsia" w:ascii="宋体" w:hAnsi="宋体"/>
          <w:sz w:val="24"/>
          <w:szCs w:val="24"/>
        </w:rPr>
        <w:t xml:space="preserve">2、                    </w:t>
      </w:r>
    </w:p>
    <w:p w14:paraId="1F96518F">
      <w:pPr>
        <w:spacing w:line="360" w:lineRule="auto"/>
        <w:ind w:firstLine="480" w:firstLineChars="200"/>
        <w:rPr>
          <w:rFonts w:ascii="宋体" w:hAnsi="宋体"/>
          <w:sz w:val="24"/>
          <w:szCs w:val="24"/>
        </w:rPr>
      </w:pPr>
      <w:r>
        <w:rPr>
          <w:rFonts w:hint="eastAsia" w:ascii="宋体" w:hAnsi="宋体"/>
          <w:sz w:val="24"/>
          <w:szCs w:val="24"/>
        </w:rPr>
        <w:t>……</w:t>
      </w:r>
    </w:p>
    <w:p w14:paraId="2403825B">
      <w:pPr>
        <w:spacing w:line="360" w:lineRule="auto"/>
        <w:ind w:firstLine="480" w:firstLineChars="200"/>
        <w:rPr>
          <w:rFonts w:ascii="宋体" w:hAnsi="宋体"/>
          <w:sz w:val="24"/>
          <w:szCs w:val="24"/>
        </w:rPr>
      </w:pPr>
      <w:r>
        <w:rPr>
          <w:rFonts w:hint="eastAsia" w:ascii="宋体" w:hAnsi="宋体"/>
          <w:sz w:val="24"/>
          <w:szCs w:val="24"/>
        </w:rPr>
        <w:t>二、合同总金额:</w:t>
      </w:r>
    </w:p>
    <w:p w14:paraId="6371A957">
      <w:pPr>
        <w:spacing w:line="360" w:lineRule="auto"/>
        <w:ind w:firstLine="480" w:firstLineChars="200"/>
        <w:rPr>
          <w:rFonts w:ascii="宋体" w:hAnsi="宋体"/>
          <w:sz w:val="24"/>
          <w:szCs w:val="24"/>
        </w:rPr>
      </w:pPr>
      <w:r>
        <w:rPr>
          <w:rFonts w:hint="eastAsia" w:ascii="宋体" w:hAnsi="宋体"/>
          <w:sz w:val="24"/>
          <w:szCs w:val="24"/>
        </w:rPr>
        <w:t xml:space="preserve">人民币（大写）： </w:t>
      </w:r>
    </w:p>
    <w:p w14:paraId="507DC826">
      <w:pPr>
        <w:spacing w:line="360" w:lineRule="auto"/>
        <w:ind w:firstLine="480" w:firstLineChars="200"/>
        <w:rPr>
          <w:rFonts w:ascii="宋体" w:hAnsi="宋体"/>
          <w:sz w:val="24"/>
          <w:szCs w:val="24"/>
        </w:rPr>
      </w:pPr>
      <w:r>
        <w:rPr>
          <w:rFonts w:hint="eastAsia" w:ascii="宋体" w:hAnsi="宋体"/>
          <w:sz w:val="24"/>
          <w:szCs w:val="24"/>
        </w:rPr>
        <w:t xml:space="preserve">      （小写）：￥</w:t>
      </w:r>
    </w:p>
    <w:p w14:paraId="28BF8EE0">
      <w:pPr>
        <w:spacing w:line="360" w:lineRule="auto"/>
        <w:ind w:firstLine="480" w:firstLineChars="200"/>
        <w:rPr>
          <w:rFonts w:ascii="宋体" w:hAnsi="宋体"/>
          <w:sz w:val="24"/>
          <w:szCs w:val="24"/>
        </w:rPr>
      </w:pPr>
      <w:r>
        <w:rPr>
          <w:rFonts w:hint="eastAsia" w:ascii="宋体" w:hAnsi="宋体"/>
          <w:sz w:val="24"/>
          <w:szCs w:val="24"/>
        </w:rPr>
        <w:t>此合同为固定价款合同，价格不因国家政策变化而变化。</w:t>
      </w:r>
    </w:p>
    <w:p w14:paraId="11A284DF">
      <w:pPr>
        <w:spacing w:line="360" w:lineRule="auto"/>
        <w:ind w:firstLine="480" w:firstLineChars="200"/>
        <w:rPr>
          <w:rFonts w:ascii="宋体" w:hAnsi="宋体"/>
          <w:sz w:val="24"/>
          <w:szCs w:val="24"/>
        </w:rPr>
      </w:pPr>
      <w:r>
        <w:rPr>
          <w:rFonts w:hint="eastAsia" w:ascii="宋体" w:hAnsi="宋体"/>
          <w:sz w:val="24"/>
          <w:szCs w:val="24"/>
        </w:rPr>
        <w:t>三、验收及付款</w:t>
      </w:r>
    </w:p>
    <w:p w14:paraId="205DFFBA">
      <w:pPr>
        <w:spacing w:line="360" w:lineRule="auto"/>
        <w:ind w:firstLine="480" w:firstLineChars="200"/>
        <w:rPr>
          <w:rFonts w:ascii="宋体" w:hAnsi="宋体"/>
          <w:sz w:val="24"/>
          <w:szCs w:val="24"/>
        </w:rPr>
      </w:pPr>
    </w:p>
    <w:p w14:paraId="15173438">
      <w:pPr>
        <w:spacing w:line="360" w:lineRule="auto"/>
        <w:ind w:firstLine="480" w:firstLineChars="200"/>
        <w:rPr>
          <w:rFonts w:ascii="宋体" w:hAnsi="宋体"/>
          <w:sz w:val="24"/>
          <w:szCs w:val="24"/>
        </w:rPr>
      </w:pPr>
      <w:r>
        <w:rPr>
          <w:rFonts w:hint="eastAsia" w:ascii="宋体" w:hAnsi="宋体"/>
          <w:sz w:val="24"/>
          <w:szCs w:val="24"/>
        </w:rPr>
        <w:t>四、服务承诺</w:t>
      </w:r>
    </w:p>
    <w:p w14:paraId="60128824">
      <w:pPr>
        <w:spacing w:line="360" w:lineRule="auto"/>
        <w:ind w:firstLine="480" w:firstLineChars="200"/>
        <w:rPr>
          <w:rFonts w:ascii="宋体" w:hAnsi="宋体"/>
          <w:sz w:val="24"/>
          <w:szCs w:val="24"/>
        </w:rPr>
      </w:pPr>
      <w:r>
        <w:rPr>
          <w:rFonts w:hint="eastAsia" w:ascii="宋体" w:hAnsi="宋体"/>
          <w:sz w:val="24"/>
          <w:szCs w:val="24"/>
        </w:rPr>
        <w:t xml:space="preserve">1、                    </w:t>
      </w:r>
    </w:p>
    <w:p w14:paraId="6F3877E2">
      <w:pPr>
        <w:spacing w:line="360" w:lineRule="auto"/>
        <w:ind w:firstLine="480" w:firstLineChars="200"/>
        <w:rPr>
          <w:rFonts w:ascii="宋体" w:hAnsi="宋体"/>
          <w:sz w:val="24"/>
          <w:szCs w:val="24"/>
        </w:rPr>
      </w:pPr>
      <w:r>
        <w:rPr>
          <w:rFonts w:hint="eastAsia" w:ascii="宋体" w:hAnsi="宋体"/>
          <w:sz w:val="24"/>
          <w:szCs w:val="24"/>
        </w:rPr>
        <w:t xml:space="preserve">2、                    </w:t>
      </w:r>
    </w:p>
    <w:p w14:paraId="138D8FDA">
      <w:pPr>
        <w:spacing w:line="360" w:lineRule="auto"/>
        <w:ind w:firstLine="480" w:firstLineChars="200"/>
        <w:rPr>
          <w:rFonts w:ascii="宋体" w:hAnsi="宋体"/>
          <w:sz w:val="24"/>
          <w:szCs w:val="24"/>
        </w:rPr>
      </w:pPr>
      <w:r>
        <w:rPr>
          <w:rFonts w:hint="eastAsia" w:ascii="宋体" w:hAnsi="宋体"/>
          <w:sz w:val="24"/>
          <w:szCs w:val="24"/>
        </w:rPr>
        <w:t>……</w:t>
      </w:r>
    </w:p>
    <w:p w14:paraId="0B15A43B">
      <w:pPr>
        <w:spacing w:line="360" w:lineRule="auto"/>
        <w:ind w:firstLine="480" w:firstLineChars="200"/>
        <w:rPr>
          <w:rFonts w:ascii="宋体" w:hAnsi="宋体"/>
          <w:sz w:val="24"/>
          <w:szCs w:val="24"/>
        </w:rPr>
      </w:pPr>
      <w:r>
        <w:rPr>
          <w:rFonts w:hint="eastAsia" w:ascii="宋体" w:hAnsi="宋体"/>
          <w:sz w:val="24"/>
          <w:szCs w:val="24"/>
        </w:rPr>
        <w:t>五、需方责任</w:t>
      </w:r>
    </w:p>
    <w:p w14:paraId="6A7D9981">
      <w:pPr>
        <w:spacing w:line="360" w:lineRule="auto"/>
        <w:ind w:firstLine="480" w:firstLineChars="200"/>
        <w:rPr>
          <w:rFonts w:ascii="宋体" w:hAnsi="宋体"/>
          <w:sz w:val="24"/>
          <w:szCs w:val="24"/>
        </w:rPr>
      </w:pPr>
      <w:r>
        <w:rPr>
          <w:rFonts w:hint="eastAsia" w:ascii="宋体" w:hAnsi="宋体"/>
          <w:sz w:val="24"/>
          <w:szCs w:val="24"/>
        </w:rPr>
        <w:t xml:space="preserve">1、                    </w:t>
      </w:r>
    </w:p>
    <w:p w14:paraId="0C36B123">
      <w:pPr>
        <w:spacing w:line="360" w:lineRule="auto"/>
        <w:ind w:firstLine="480" w:firstLineChars="200"/>
        <w:rPr>
          <w:rFonts w:ascii="宋体" w:hAnsi="宋体"/>
          <w:sz w:val="24"/>
          <w:szCs w:val="24"/>
        </w:rPr>
      </w:pPr>
      <w:r>
        <w:rPr>
          <w:rFonts w:hint="eastAsia" w:ascii="宋体" w:hAnsi="宋体"/>
          <w:sz w:val="24"/>
          <w:szCs w:val="24"/>
        </w:rPr>
        <w:t xml:space="preserve">2、                    </w:t>
      </w:r>
    </w:p>
    <w:p w14:paraId="6B5EEB79">
      <w:pPr>
        <w:spacing w:line="360" w:lineRule="auto"/>
        <w:ind w:firstLine="480" w:firstLineChars="200"/>
        <w:rPr>
          <w:rFonts w:ascii="宋体" w:hAnsi="宋体"/>
          <w:sz w:val="24"/>
          <w:szCs w:val="24"/>
        </w:rPr>
      </w:pPr>
      <w:r>
        <w:rPr>
          <w:rFonts w:hint="eastAsia" w:ascii="宋体" w:hAnsi="宋体"/>
          <w:sz w:val="24"/>
          <w:szCs w:val="24"/>
        </w:rPr>
        <w:t>……</w:t>
      </w:r>
    </w:p>
    <w:p w14:paraId="7CCB0E68">
      <w:pPr>
        <w:spacing w:line="360" w:lineRule="auto"/>
        <w:ind w:firstLine="480" w:firstLineChars="200"/>
        <w:rPr>
          <w:rFonts w:ascii="宋体" w:hAnsi="宋体"/>
          <w:sz w:val="24"/>
          <w:szCs w:val="24"/>
        </w:rPr>
      </w:pPr>
      <w:r>
        <w:rPr>
          <w:rFonts w:hint="eastAsia" w:ascii="宋体" w:hAnsi="宋体"/>
          <w:sz w:val="24"/>
          <w:szCs w:val="24"/>
        </w:rPr>
        <w:t>六、供方责任</w:t>
      </w:r>
    </w:p>
    <w:p w14:paraId="6FFF8749">
      <w:pPr>
        <w:spacing w:line="360" w:lineRule="auto"/>
        <w:ind w:firstLine="480" w:firstLineChars="200"/>
        <w:rPr>
          <w:rFonts w:ascii="宋体" w:hAnsi="宋体"/>
          <w:sz w:val="24"/>
          <w:szCs w:val="24"/>
        </w:rPr>
      </w:pPr>
      <w:r>
        <w:rPr>
          <w:rFonts w:hint="eastAsia" w:ascii="宋体" w:hAnsi="宋体"/>
          <w:sz w:val="24"/>
          <w:szCs w:val="24"/>
        </w:rPr>
        <w:t xml:space="preserve">1、                    </w:t>
      </w:r>
    </w:p>
    <w:p w14:paraId="3C8C121E">
      <w:pPr>
        <w:spacing w:line="360" w:lineRule="auto"/>
        <w:ind w:firstLine="480" w:firstLineChars="200"/>
        <w:rPr>
          <w:rFonts w:ascii="宋体" w:hAnsi="宋体"/>
          <w:sz w:val="24"/>
          <w:szCs w:val="24"/>
        </w:rPr>
      </w:pPr>
      <w:r>
        <w:rPr>
          <w:rFonts w:hint="eastAsia" w:ascii="宋体" w:hAnsi="宋体"/>
          <w:sz w:val="24"/>
          <w:szCs w:val="24"/>
        </w:rPr>
        <w:t xml:space="preserve">2、                    </w:t>
      </w:r>
    </w:p>
    <w:p w14:paraId="2A558B6B">
      <w:pPr>
        <w:spacing w:line="360" w:lineRule="auto"/>
        <w:ind w:firstLine="480" w:firstLineChars="200"/>
        <w:rPr>
          <w:rFonts w:ascii="宋体" w:hAnsi="宋体"/>
          <w:sz w:val="24"/>
          <w:szCs w:val="24"/>
        </w:rPr>
      </w:pPr>
      <w:r>
        <w:rPr>
          <w:rFonts w:hint="eastAsia" w:ascii="宋体" w:hAnsi="宋体"/>
          <w:sz w:val="24"/>
          <w:szCs w:val="24"/>
        </w:rPr>
        <w:t>……</w:t>
      </w:r>
    </w:p>
    <w:p w14:paraId="06633224">
      <w:pPr>
        <w:spacing w:line="360" w:lineRule="auto"/>
        <w:ind w:firstLine="480" w:firstLineChars="200"/>
        <w:rPr>
          <w:rFonts w:ascii="宋体" w:hAnsi="宋体"/>
          <w:sz w:val="24"/>
          <w:szCs w:val="24"/>
        </w:rPr>
      </w:pPr>
      <w:r>
        <w:rPr>
          <w:rFonts w:hint="eastAsia" w:ascii="宋体" w:hAnsi="宋体"/>
          <w:sz w:val="24"/>
          <w:szCs w:val="24"/>
        </w:rPr>
        <w:t>七、违约责任</w:t>
      </w:r>
    </w:p>
    <w:p w14:paraId="35C25D72">
      <w:pPr>
        <w:spacing w:line="360" w:lineRule="auto"/>
        <w:ind w:firstLine="480" w:firstLineChars="200"/>
        <w:rPr>
          <w:rFonts w:ascii="宋体" w:hAnsi="宋体"/>
          <w:sz w:val="24"/>
          <w:szCs w:val="24"/>
        </w:rPr>
      </w:pPr>
      <w:r>
        <w:rPr>
          <w:rFonts w:hint="eastAsia" w:ascii="宋体" w:hAnsi="宋体"/>
          <w:sz w:val="24"/>
          <w:szCs w:val="24"/>
        </w:rPr>
        <w:t xml:space="preserve">1、                    </w:t>
      </w:r>
    </w:p>
    <w:p w14:paraId="6B4E844F">
      <w:pPr>
        <w:spacing w:line="360" w:lineRule="auto"/>
        <w:ind w:firstLine="480" w:firstLineChars="200"/>
        <w:rPr>
          <w:rFonts w:ascii="宋体" w:hAnsi="宋体"/>
          <w:sz w:val="24"/>
          <w:szCs w:val="24"/>
        </w:rPr>
      </w:pPr>
      <w:r>
        <w:rPr>
          <w:rFonts w:hint="eastAsia" w:ascii="宋体" w:hAnsi="宋体"/>
          <w:sz w:val="24"/>
          <w:szCs w:val="24"/>
        </w:rPr>
        <w:t xml:space="preserve">2、                    </w:t>
      </w:r>
    </w:p>
    <w:p w14:paraId="08AC2E1B">
      <w:pPr>
        <w:spacing w:line="360" w:lineRule="auto"/>
        <w:ind w:firstLine="480" w:firstLineChars="200"/>
        <w:rPr>
          <w:rFonts w:ascii="宋体" w:hAnsi="宋体"/>
          <w:sz w:val="24"/>
          <w:szCs w:val="24"/>
        </w:rPr>
      </w:pPr>
      <w:r>
        <w:rPr>
          <w:rFonts w:hint="eastAsia" w:ascii="宋体" w:hAnsi="宋体"/>
          <w:sz w:val="24"/>
          <w:szCs w:val="24"/>
        </w:rPr>
        <w:t>……</w:t>
      </w:r>
    </w:p>
    <w:p w14:paraId="5A34D107">
      <w:pPr>
        <w:spacing w:line="360" w:lineRule="auto"/>
        <w:ind w:firstLine="480" w:firstLineChars="200"/>
        <w:rPr>
          <w:rFonts w:ascii="宋体" w:hAnsi="宋体"/>
          <w:sz w:val="24"/>
          <w:szCs w:val="24"/>
        </w:rPr>
      </w:pPr>
      <w:r>
        <w:rPr>
          <w:rFonts w:hint="eastAsia" w:ascii="宋体" w:hAnsi="宋体"/>
          <w:sz w:val="24"/>
          <w:szCs w:val="24"/>
        </w:rPr>
        <w:t>八、不可抗力</w:t>
      </w:r>
    </w:p>
    <w:p w14:paraId="6769AF29">
      <w:pPr>
        <w:spacing w:line="360" w:lineRule="auto"/>
        <w:ind w:firstLine="480" w:firstLineChars="200"/>
        <w:rPr>
          <w:rFonts w:ascii="宋体" w:hAnsi="宋体"/>
          <w:sz w:val="24"/>
          <w:szCs w:val="24"/>
        </w:rPr>
      </w:pPr>
      <w:r>
        <w:rPr>
          <w:rFonts w:hint="eastAsia" w:ascii="宋体" w:hAnsi="宋体"/>
          <w:sz w:val="24"/>
          <w:szCs w:val="24"/>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188F6D2E">
      <w:pPr>
        <w:spacing w:line="360" w:lineRule="auto"/>
        <w:ind w:firstLine="480" w:firstLineChars="200"/>
        <w:rPr>
          <w:rFonts w:ascii="宋体" w:hAnsi="宋体"/>
          <w:sz w:val="24"/>
          <w:szCs w:val="24"/>
        </w:rPr>
      </w:pPr>
      <w:r>
        <w:rPr>
          <w:rFonts w:hint="eastAsia" w:ascii="宋体" w:hAnsi="宋体"/>
          <w:sz w:val="24"/>
          <w:szCs w:val="24"/>
        </w:rPr>
        <w:t>九、争议解决</w:t>
      </w:r>
    </w:p>
    <w:p w14:paraId="25197CB4">
      <w:pPr>
        <w:spacing w:line="360" w:lineRule="auto"/>
        <w:ind w:firstLine="480" w:firstLineChars="200"/>
        <w:rPr>
          <w:rFonts w:ascii="宋体" w:hAnsi="宋体"/>
          <w:sz w:val="24"/>
          <w:szCs w:val="24"/>
        </w:rPr>
      </w:pPr>
      <w:r>
        <w:rPr>
          <w:rFonts w:hint="eastAsia" w:ascii="宋体" w:hAnsi="宋体"/>
          <w:sz w:val="24"/>
          <w:szCs w:val="24"/>
        </w:rPr>
        <w:t>供需双方在执行合同中发生争议，应通过协商解决。如协商不成，可以向合同签署所在地法院提出诉讼。</w:t>
      </w:r>
    </w:p>
    <w:p w14:paraId="6E2D92F9">
      <w:pPr>
        <w:spacing w:line="360" w:lineRule="auto"/>
        <w:ind w:firstLine="480" w:firstLineChars="200"/>
        <w:rPr>
          <w:rFonts w:ascii="宋体" w:hAnsi="宋体"/>
          <w:sz w:val="24"/>
          <w:szCs w:val="24"/>
        </w:rPr>
      </w:pPr>
      <w:r>
        <w:rPr>
          <w:rFonts w:hint="eastAsia" w:ascii="宋体" w:hAnsi="宋体"/>
          <w:sz w:val="24"/>
          <w:szCs w:val="24"/>
        </w:rPr>
        <w:t>十、合同生效及其他</w:t>
      </w:r>
    </w:p>
    <w:p w14:paraId="6579AE25">
      <w:pPr>
        <w:spacing w:line="360" w:lineRule="auto"/>
        <w:ind w:firstLine="480" w:firstLineChars="200"/>
        <w:rPr>
          <w:rFonts w:ascii="宋体" w:hAnsi="宋体"/>
          <w:sz w:val="24"/>
          <w:szCs w:val="24"/>
        </w:rPr>
      </w:pPr>
      <w:r>
        <w:rPr>
          <w:rFonts w:hint="eastAsia" w:ascii="宋体" w:hAnsi="宋体"/>
          <w:sz w:val="24"/>
          <w:szCs w:val="24"/>
        </w:rPr>
        <w:t>1、合同由供、需双方代表签章，即行生效。</w:t>
      </w:r>
    </w:p>
    <w:p w14:paraId="4C596B09">
      <w:pPr>
        <w:spacing w:line="360" w:lineRule="auto"/>
        <w:ind w:firstLine="480" w:firstLineChars="200"/>
        <w:rPr>
          <w:rFonts w:ascii="宋体" w:hAnsi="宋体"/>
          <w:sz w:val="24"/>
          <w:szCs w:val="24"/>
        </w:rPr>
      </w:pPr>
      <w:r>
        <w:rPr>
          <w:rFonts w:hint="eastAsia" w:ascii="宋体" w:hAnsi="宋体"/>
          <w:sz w:val="24"/>
          <w:szCs w:val="24"/>
        </w:rPr>
        <w:t>2、本合同一式五份。</w:t>
      </w:r>
    </w:p>
    <w:p w14:paraId="0B7A5A66">
      <w:pPr>
        <w:spacing w:line="360" w:lineRule="auto"/>
        <w:ind w:firstLine="480" w:firstLineChars="200"/>
        <w:rPr>
          <w:rFonts w:ascii="宋体" w:hAnsi="宋体"/>
          <w:sz w:val="24"/>
          <w:szCs w:val="24"/>
        </w:rPr>
      </w:pPr>
      <w:r>
        <w:rPr>
          <w:rFonts w:hint="eastAsia" w:ascii="宋体" w:hAnsi="宋体"/>
          <w:sz w:val="24"/>
          <w:szCs w:val="24"/>
        </w:rPr>
        <w:t>3、合同执行过程中出现的未尽事宜，双方在不违背合同和招标文件的前提下协商解决。协商结果以“纪要”形式作为合同附件，与合同具有同等效力。</w:t>
      </w:r>
    </w:p>
    <w:p w14:paraId="257222C7">
      <w:pPr>
        <w:spacing w:line="360" w:lineRule="auto"/>
        <w:ind w:firstLine="480" w:firstLineChars="200"/>
        <w:rPr>
          <w:rFonts w:ascii="宋体" w:hAnsi="宋体"/>
          <w:sz w:val="24"/>
          <w:szCs w:val="24"/>
        </w:rPr>
      </w:pPr>
      <w:r>
        <w:rPr>
          <w:rFonts w:hint="eastAsia" w:ascii="宋体" w:hAnsi="宋体"/>
          <w:sz w:val="24"/>
          <w:szCs w:val="24"/>
        </w:rPr>
        <w:t>十一、下列文件为本合同不可分割部分</w:t>
      </w:r>
    </w:p>
    <w:p w14:paraId="6A9037CA">
      <w:pPr>
        <w:spacing w:line="360" w:lineRule="auto"/>
        <w:ind w:firstLine="480" w:firstLineChars="200"/>
        <w:rPr>
          <w:rFonts w:ascii="宋体" w:hAnsi="宋体"/>
          <w:sz w:val="24"/>
          <w:szCs w:val="24"/>
        </w:rPr>
      </w:pPr>
      <w:r>
        <w:rPr>
          <w:rFonts w:hint="eastAsia" w:ascii="宋体" w:hAnsi="宋体"/>
          <w:sz w:val="24"/>
          <w:szCs w:val="24"/>
        </w:rPr>
        <w:t>1、谈判文件及其补充材料</w:t>
      </w:r>
    </w:p>
    <w:p w14:paraId="4B2506FC">
      <w:pPr>
        <w:spacing w:line="360" w:lineRule="auto"/>
        <w:ind w:firstLine="480" w:firstLineChars="200"/>
        <w:rPr>
          <w:rFonts w:ascii="宋体" w:hAnsi="宋体"/>
          <w:sz w:val="24"/>
          <w:szCs w:val="24"/>
        </w:rPr>
      </w:pPr>
      <w:r>
        <w:rPr>
          <w:rFonts w:hint="eastAsia" w:ascii="宋体" w:hAnsi="宋体"/>
          <w:sz w:val="24"/>
          <w:szCs w:val="24"/>
        </w:rPr>
        <w:t>2、响应文件及其补充材料</w:t>
      </w:r>
    </w:p>
    <w:p w14:paraId="35B4A769">
      <w:pPr>
        <w:spacing w:line="360" w:lineRule="auto"/>
        <w:ind w:firstLine="480" w:firstLineChars="200"/>
        <w:rPr>
          <w:rFonts w:ascii="宋体" w:hAnsi="宋体"/>
          <w:sz w:val="24"/>
          <w:szCs w:val="24"/>
        </w:rPr>
      </w:pPr>
      <w:r>
        <w:rPr>
          <w:rFonts w:hint="eastAsia" w:ascii="宋体" w:hAnsi="宋体"/>
          <w:sz w:val="24"/>
          <w:szCs w:val="24"/>
        </w:rPr>
        <w:t>3、投标供应商所做的其他承诺</w:t>
      </w:r>
    </w:p>
    <w:p w14:paraId="0A6D7BAB">
      <w:pPr>
        <w:spacing w:line="360" w:lineRule="auto"/>
        <w:ind w:firstLine="480" w:firstLineChars="200"/>
        <w:rPr>
          <w:rFonts w:ascii="宋体" w:hAnsi="宋体"/>
          <w:sz w:val="24"/>
          <w:szCs w:val="24"/>
        </w:rPr>
      </w:pPr>
      <w:r>
        <w:rPr>
          <w:rFonts w:hint="eastAsia" w:ascii="宋体" w:hAnsi="宋体"/>
          <w:sz w:val="24"/>
          <w:szCs w:val="24"/>
        </w:rPr>
        <w:t xml:space="preserve">需方（章）：                   供方（章）：            </w:t>
      </w:r>
    </w:p>
    <w:p w14:paraId="5A21C87A">
      <w:pPr>
        <w:spacing w:line="360" w:lineRule="auto"/>
        <w:ind w:firstLine="480" w:firstLineChars="200"/>
        <w:rPr>
          <w:rFonts w:ascii="宋体" w:hAnsi="宋体"/>
          <w:sz w:val="24"/>
          <w:szCs w:val="24"/>
        </w:rPr>
      </w:pPr>
      <w:r>
        <w:rPr>
          <w:rFonts w:hint="eastAsia" w:ascii="宋体" w:hAnsi="宋体"/>
          <w:sz w:val="24"/>
          <w:szCs w:val="24"/>
        </w:rPr>
        <w:t xml:space="preserve">法定代表人：                   法定代表人：                </w:t>
      </w:r>
    </w:p>
    <w:p w14:paraId="23BE252F">
      <w:pPr>
        <w:spacing w:line="360" w:lineRule="auto"/>
        <w:ind w:firstLine="480" w:firstLineChars="200"/>
        <w:rPr>
          <w:rFonts w:ascii="宋体" w:hAnsi="宋体"/>
          <w:sz w:val="24"/>
          <w:szCs w:val="24"/>
        </w:rPr>
      </w:pPr>
      <w:r>
        <w:rPr>
          <w:rFonts w:hint="eastAsia" w:ascii="宋体" w:hAnsi="宋体"/>
          <w:sz w:val="24"/>
          <w:szCs w:val="24"/>
        </w:rPr>
        <w:t xml:space="preserve">委托代理人：                 委托代理人：               </w:t>
      </w:r>
    </w:p>
    <w:p w14:paraId="1B8F9E60">
      <w:pPr>
        <w:spacing w:line="360" w:lineRule="auto"/>
        <w:ind w:firstLine="480" w:firstLineChars="200"/>
        <w:rPr>
          <w:rFonts w:ascii="宋体" w:hAnsi="宋体"/>
          <w:sz w:val="24"/>
          <w:szCs w:val="24"/>
        </w:rPr>
      </w:pPr>
      <w:r>
        <w:rPr>
          <w:rFonts w:hint="eastAsia" w:ascii="宋体" w:hAnsi="宋体"/>
          <w:sz w:val="24"/>
          <w:szCs w:val="24"/>
        </w:rPr>
        <w:t xml:space="preserve">地 址：                        地 址：                   </w:t>
      </w:r>
    </w:p>
    <w:p w14:paraId="1CC04166">
      <w:pPr>
        <w:spacing w:line="360" w:lineRule="auto"/>
        <w:ind w:firstLine="480" w:firstLineChars="200"/>
        <w:rPr>
          <w:rFonts w:ascii="宋体" w:hAnsi="宋体"/>
          <w:sz w:val="24"/>
          <w:szCs w:val="24"/>
        </w:rPr>
      </w:pPr>
      <w:r>
        <w:rPr>
          <w:rFonts w:hint="eastAsia" w:ascii="宋体" w:hAnsi="宋体"/>
          <w:sz w:val="24"/>
          <w:szCs w:val="24"/>
        </w:rPr>
        <w:t xml:space="preserve">电 话：                        电 话：                    </w:t>
      </w:r>
    </w:p>
    <w:p w14:paraId="1855013C">
      <w:pPr>
        <w:spacing w:line="360" w:lineRule="auto"/>
        <w:ind w:firstLine="480" w:firstLineChars="200"/>
        <w:rPr>
          <w:rFonts w:ascii="宋体" w:hAnsi="宋体"/>
          <w:sz w:val="24"/>
          <w:szCs w:val="24"/>
        </w:rPr>
      </w:pPr>
      <w:r>
        <w:rPr>
          <w:rFonts w:hint="eastAsia" w:ascii="宋体" w:hAnsi="宋体"/>
          <w:sz w:val="24"/>
          <w:szCs w:val="24"/>
        </w:rPr>
        <w:t xml:space="preserve">开户银行：                     开户银行：                </w:t>
      </w:r>
    </w:p>
    <w:p w14:paraId="415DB534">
      <w:pPr>
        <w:spacing w:line="360" w:lineRule="auto"/>
        <w:ind w:firstLine="480" w:firstLineChars="200"/>
        <w:rPr>
          <w:rFonts w:ascii="宋体" w:hAnsi="宋体"/>
          <w:sz w:val="24"/>
          <w:szCs w:val="24"/>
        </w:rPr>
      </w:pPr>
      <w:r>
        <w:rPr>
          <w:rFonts w:hint="eastAsia" w:ascii="宋体" w:hAnsi="宋体"/>
          <w:sz w:val="24"/>
          <w:szCs w:val="24"/>
        </w:rPr>
        <w:t xml:space="preserve">账 号：                        账 号:                      </w:t>
      </w:r>
    </w:p>
    <w:p w14:paraId="6EAE6A95">
      <w:pPr>
        <w:spacing w:line="360" w:lineRule="auto"/>
        <w:ind w:firstLine="480" w:firstLineChars="200"/>
        <w:rPr>
          <w:rFonts w:ascii="宋体" w:hAnsi="宋体"/>
          <w:sz w:val="24"/>
          <w:szCs w:val="24"/>
        </w:rPr>
      </w:pPr>
      <w:r>
        <w:rPr>
          <w:rFonts w:hint="eastAsia" w:ascii="宋体" w:hAnsi="宋体"/>
          <w:sz w:val="24"/>
          <w:szCs w:val="24"/>
        </w:rPr>
        <w:t xml:space="preserve">日 期：   年   月   日         日 期：   年   月   日   </w:t>
      </w:r>
    </w:p>
    <w:p w14:paraId="105497EC">
      <w:pPr>
        <w:spacing w:line="360" w:lineRule="auto"/>
        <w:ind w:firstLine="643" w:firstLineChars="200"/>
        <w:jc w:val="center"/>
        <w:outlineLvl w:val="0"/>
        <w:rPr>
          <w:rFonts w:hint="eastAsia" w:ascii="宋体" w:hAnsi="宋体" w:eastAsia="宋体" w:cs="宋体"/>
          <w:b/>
          <w:bCs/>
          <w:color w:val="auto"/>
          <w:kern w:val="0"/>
          <w:sz w:val="32"/>
          <w:szCs w:val="32"/>
          <w:lang w:val="en-US" w:eastAsia="zh-CN" w:bidi="ar"/>
        </w:rPr>
      </w:pPr>
      <w:bookmarkStart w:id="90" w:name="_Toc16654"/>
      <w:r>
        <w:rPr>
          <w:rFonts w:hint="eastAsia" w:ascii="宋体" w:hAnsi="宋体" w:eastAsia="宋体" w:cs="宋体"/>
          <w:b/>
          <w:bCs/>
          <w:color w:val="auto"/>
          <w:kern w:val="0"/>
          <w:sz w:val="32"/>
          <w:szCs w:val="32"/>
          <w:lang w:val="en-US" w:eastAsia="zh-CN" w:bidi="ar"/>
        </w:rPr>
        <w:t>第六章  电子化投标文件格式</w:t>
      </w:r>
      <w:bookmarkEnd w:id="88"/>
      <w:bookmarkEnd w:id="89"/>
      <w:bookmarkEnd w:id="90"/>
    </w:p>
    <w:p w14:paraId="2CBA4643">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tLeast"/>
        <w:jc w:val="center"/>
        <w:rPr>
          <w:color w:val="auto"/>
        </w:rPr>
      </w:pPr>
      <w:r>
        <w:rPr>
          <w:color w:val="auto"/>
        </w:rPr>
        <w:t> </w:t>
      </w:r>
    </w:p>
    <w:p w14:paraId="1D03052E">
      <w:pPr>
        <w:spacing w:line="360" w:lineRule="auto"/>
        <w:ind w:firstLine="522" w:firstLineChars="100"/>
        <w:jc w:val="center"/>
        <w:rPr>
          <w:rFonts w:hint="eastAsia" w:ascii="宋体" w:cs="宋体"/>
          <w:b/>
          <w:color w:val="auto"/>
          <w:sz w:val="52"/>
          <w:szCs w:val="22"/>
          <w:u w:val="single"/>
          <w:lang w:bidi="ar"/>
        </w:rPr>
      </w:pPr>
    </w:p>
    <w:p w14:paraId="45CC554A">
      <w:pPr>
        <w:spacing w:line="360" w:lineRule="auto"/>
        <w:ind w:firstLine="522" w:firstLineChars="100"/>
        <w:jc w:val="center"/>
        <w:rPr>
          <w:rFonts w:hint="eastAsia" w:ascii="宋体" w:cs="宋体"/>
          <w:b/>
          <w:color w:val="auto"/>
          <w:sz w:val="52"/>
          <w:szCs w:val="22"/>
          <w:u w:val="single"/>
          <w:lang w:bidi="ar"/>
        </w:rPr>
      </w:pPr>
    </w:p>
    <w:p w14:paraId="33C1892C">
      <w:pPr>
        <w:spacing w:line="360" w:lineRule="auto"/>
        <w:ind w:firstLine="522" w:firstLineChars="100"/>
        <w:jc w:val="center"/>
        <w:rPr>
          <w:rFonts w:ascii="宋体" w:cs="宋体"/>
          <w:b/>
          <w:color w:val="auto"/>
          <w:sz w:val="52"/>
          <w:szCs w:val="22"/>
        </w:rPr>
      </w:pPr>
      <w:r>
        <w:rPr>
          <w:rFonts w:hint="eastAsia" w:ascii="宋体" w:cs="宋体"/>
          <w:b/>
          <w:color w:val="auto"/>
          <w:sz w:val="52"/>
          <w:szCs w:val="22"/>
          <w:u w:val="single"/>
          <w:lang w:bidi="ar"/>
        </w:rPr>
        <w:t>（项目名称）</w:t>
      </w:r>
    </w:p>
    <w:p w14:paraId="66C58FB9">
      <w:pPr>
        <w:spacing w:line="360" w:lineRule="auto"/>
        <w:ind w:firstLine="420" w:firstLineChars="200"/>
        <w:rPr>
          <w:rFonts w:ascii="宋体" w:cs="宋体"/>
          <w:color w:val="auto"/>
          <w:szCs w:val="22"/>
        </w:rPr>
      </w:pPr>
    </w:p>
    <w:p w14:paraId="27E39FB1">
      <w:pPr>
        <w:spacing w:line="360" w:lineRule="auto"/>
        <w:ind w:firstLine="2240" w:firstLineChars="200"/>
        <w:jc w:val="center"/>
        <w:rPr>
          <w:rFonts w:ascii="宋体" w:cs="宋体"/>
          <w:color w:val="auto"/>
          <w:sz w:val="112"/>
          <w:szCs w:val="112"/>
        </w:rPr>
      </w:pPr>
    </w:p>
    <w:p w14:paraId="0867D40B">
      <w:pPr>
        <w:spacing w:line="360" w:lineRule="auto"/>
        <w:jc w:val="center"/>
        <w:rPr>
          <w:rFonts w:ascii="黑体" w:eastAsia="黑体" w:cs="黑体"/>
          <w:color w:val="auto"/>
          <w:sz w:val="28"/>
          <w:szCs w:val="22"/>
        </w:rPr>
      </w:pPr>
      <w:r>
        <w:rPr>
          <w:rFonts w:hint="eastAsia" w:ascii="宋体" w:cs="宋体"/>
          <w:b/>
          <w:color w:val="auto"/>
          <w:sz w:val="60"/>
          <w:szCs w:val="60"/>
          <w:lang w:bidi="ar"/>
        </w:rPr>
        <w:t>投 标 文 件</w:t>
      </w:r>
    </w:p>
    <w:p w14:paraId="433C3E35">
      <w:pPr>
        <w:spacing w:line="360" w:lineRule="auto"/>
        <w:jc w:val="center"/>
        <w:rPr>
          <w:rFonts w:ascii="黑体" w:eastAsia="黑体" w:cs="黑体"/>
          <w:color w:val="auto"/>
          <w:sz w:val="32"/>
        </w:rPr>
      </w:pPr>
    </w:p>
    <w:p w14:paraId="55729235">
      <w:pPr>
        <w:spacing w:line="360" w:lineRule="auto"/>
        <w:jc w:val="center"/>
        <w:rPr>
          <w:rFonts w:ascii="黑体" w:eastAsia="黑体" w:cs="黑体"/>
          <w:color w:val="auto"/>
          <w:sz w:val="32"/>
        </w:rPr>
      </w:pPr>
    </w:p>
    <w:p w14:paraId="2CF39D65">
      <w:pPr>
        <w:spacing w:line="360" w:lineRule="auto"/>
        <w:jc w:val="both"/>
        <w:rPr>
          <w:rFonts w:ascii="黑体" w:eastAsia="黑体" w:cs="黑体"/>
          <w:color w:val="auto"/>
          <w:sz w:val="32"/>
        </w:rPr>
      </w:pPr>
    </w:p>
    <w:p w14:paraId="02DCEF6F">
      <w:pPr>
        <w:spacing w:line="360" w:lineRule="auto"/>
        <w:jc w:val="center"/>
        <w:rPr>
          <w:rFonts w:ascii="黑体" w:eastAsia="黑体" w:cs="黑体"/>
          <w:color w:val="auto"/>
          <w:sz w:val="32"/>
        </w:rPr>
      </w:pPr>
    </w:p>
    <w:p w14:paraId="37E31F74">
      <w:pPr>
        <w:spacing w:line="360" w:lineRule="auto"/>
        <w:jc w:val="center"/>
        <w:rPr>
          <w:rFonts w:ascii="黑体" w:eastAsia="黑体" w:cs="黑体"/>
          <w:color w:val="auto"/>
          <w:sz w:val="28"/>
          <w:szCs w:val="28"/>
        </w:rPr>
      </w:pPr>
      <w:r>
        <w:rPr>
          <w:rFonts w:hint="eastAsia" w:ascii="黑体" w:eastAsia="黑体" w:cs="黑体"/>
          <w:color w:val="auto"/>
          <w:sz w:val="28"/>
          <w:szCs w:val="28"/>
          <w:lang w:bidi="ar"/>
        </w:rPr>
        <w:t>投标人：(电子签章)</w:t>
      </w:r>
    </w:p>
    <w:p w14:paraId="04870E3C">
      <w:pPr>
        <w:spacing w:line="360" w:lineRule="auto"/>
        <w:jc w:val="center"/>
        <w:rPr>
          <w:rFonts w:ascii="黑体" w:eastAsia="黑体" w:cs="黑体"/>
          <w:color w:val="auto"/>
          <w:sz w:val="28"/>
          <w:szCs w:val="28"/>
        </w:rPr>
      </w:pPr>
      <w:r>
        <w:rPr>
          <w:rFonts w:hint="eastAsia" w:ascii="黑体" w:eastAsia="黑体" w:cs="黑体"/>
          <w:color w:val="auto"/>
          <w:sz w:val="28"/>
          <w:szCs w:val="28"/>
          <w:lang w:bidi="ar"/>
        </w:rPr>
        <w:t>法定代表人：(电子签章)</w:t>
      </w:r>
    </w:p>
    <w:p w14:paraId="4F10593C">
      <w:pPr>
        <w:spacing w:line="360" w:lineRule="auto"/>
        <w:jc w:val="center"/>
        <w:rPr>
          <w:rFonts w:ascii="黑体" w:eastAsia="黑体" w:cs="黑体"/>
          <w:color w:val="auto"/>
          <w:sz w:val="28"/>
          <w:szCs w:val="28"/>
        </w:rPr>
      </w:pPr>
      <w:r>
        <w:rPr>
          <w:rFonts w:hint="eastAsia" w:ascii="黑体" w:eastAsia="黑体" w:cs="黑体"/>
          <w:color w:val="auto"/>
          <w:sz w:val="28"/>
          <w:szCs w:val="28"/>
          <w:lang w:bidi="ar"/>
        </w:rPr>
        <w:t>年  月   日</w:t>
      </w:r>
    </w:p>
    <w:p w14:paraId="31149305">
      <w:pPr>
        <w:jc w:val="center"/>
        <w:rPr>
          <w:rFonts w:hint="eastAsia"/>
          <w:color w:val="auto"/>
          <w:sz w:val="44"/>
          <w:szCs w:val="52"/>
        </w:rPr>
      </w:pPr>
    </w:p>
    <w:p w14:paraId="3CC6333F">
      <w:pPr>
        <w:jc w:val="center"/>
        <w:rPr>
          <w:rFonts w:hint="eastAsia" w:ascii="宋体" w:hAnsi="宋体" w:cs="宋体"/>
          <w:b/>
          <w:bCs/>
          <w:color w:val="auto"/>
          <w:sz w:val="24"/>
        </w:rPr>
      </w:pPr>
      <w:r>
        <w:rPr>
          <w:rFonts w:hint="eastAsia" w:ascii="宋体" w:hAnsi="宋体" w:cs="宋体"/>
          <w:color w:val="auto"/>
          <w:sz w:val="24"/>
        </w:rPr>
        <w:t xml:space="preserve"> </w:t>
      </w:r>
    </w:p>
    <w:p w14:paraId="0F69EC58">
      <w:pPr>
        <w:rPr>
          <w:rFonts w:hint="eastAsia"/>
          <w:b/>
          <w:bCs/>
          <w:color w:val="auto"/>
          <w:sz w:val="32"/>
          <w:szCs w:val="32"/>
        </w:rPr>
      </w:pPr>
      <w:bookmarkStart w:id="91" w:name="_Toc179632807"/>
      <w:bookmarkEnd w:id="91"/>
      <w:bookmarkStart w:id="92" w:name="_Toc375041570"/>
      <w:bookmarkEnd w:id="92"/>
      <w:bookmarkStart w:id="93" w:name="_Toc152042576"/>
      <w:bookmarkEnd w:id="93"/>
      <w:bookmarkStart w:id="94" w:name="_Toc246997098"/>
      <w:bookmarkEnd w:id="94"/>
      <w:bookmarkStart w:id="95" w:name="_Toc375041321"/>
      <w:bookmarkEnd w:id="95"/>
      <w:bookmarkStart w:id="96" w:name="_Toc144974856"/>
      <w:bookmarkEnd w:id="96"/>
      <w:bookmarkStart w:id="97" w:name="_Toc394651920"/>
      <w:bookmarkEnd w:id="97"/>
      <w:bookmarkStart w:id="98" w:name="_Toc528078065"/>
      <w:bookmarkEnd w:id="98"/>
      <w:bookmarkStart w:id="99" w:name="_Toc247085873"/>
      <w:bookmarkEnd w:id="99"/>
      <w:bookmarkStart w:id="100" w:name="_Toc152045787"/>
      <w:bookmarkEnd w:id="100"/>
      <w:bookmarkStart w:id="101" w:name="_Toc6470"/>
      <w:bookmarkEnd w:id="101"/>
      <w:bookmarkStart w:id="102" w:name="_Toc246996355"/>
      <w:bookmarkEnd w:id="102"/>
      <w:bookmarkStart w:id="103" w:name="_Toc29758"/>
      <w:bookmarkStart w:id="104" w:name="_Toc6979"/>
      <w:bookmarkStart w:id="105" w:name="_Toc4218"/>
      <w:r>
        <w:rPr>
          <w:rFonts w:hint="eastAsia"/>
          <w:b/>
          <w:bCs/>
          <w:color w:val="auto"/>
          <w:sz w:val="32"/>
          <w:szCs w:val="32"/>
        </w:rPr>
        <w:br w:type="page"/>
      </w:r>
    </w:p>
    <w:p w14:paraId="71832148">
      <w:pPr>
        <w:jc w:val="center"/>
        <w:rPr>
          <w:rFonts w:hint="eastAsia"/>
          <w:b/>
          <w:bCs/>
          <w:color w:val="auto"/>
          <w:sz w:val="32"/>
          <w:szCs w:val="32"/>
        </w:rPr>
      </w:pPr>
      <w:r>
        <w:rPr>
          <w:rFonts w:hint="eastAsia"/>
          <w:b/>
          <w:bCs/>
          <w:color w:val="auto"/>
          <w:sz w:val="32"/>
          <w:szCs w:val="32"/>
        </w:rPr>
        <w:t>目   录</w:t>
      </w:r>
      <w:bookmarkEnd w:id="103"/>
      <w:bookmarkEnd w:id="104"/>
      <w:bookmarkEnd w:id="105"/>
    </w:p>
    <w:p w14:paraId="5E18EF4B">
      <w:pPr>
        <w:spacing w:line="600" w:lineRule="auto"/>
        <w:jc w:val="center"/>
        <w:rPr>
          <w:rFonts w:hint="eastAsia"/>
          <w:b/>
          <w:bCs/>
          <w:color w:val="auto"/>
          <w:sz w:val="32"/>
          <w:szCs w:val="32"/>
        </w:rPr>
      </w:pPr>
      <w:bookmarkStart w:id="106" w:name="_Toc13637"/>
      <w:bookmarkEnd w:id="106"/>
      <w:bookmarkStart w:id="107" w:name="_Toc19635"/>
      <w:bookmarkStart w:id="108" w:name="_Toc5270"/>
      <w:r>
        <w:rPr>
          <w:rFonts w:hint="eastAsia"/>
          <w:b/>
          <w:bCs/>
          <w:color w:val="auto"/>
          <w:sz w:val="32"/>
          <w:szCs w:val="32"/>
        </w:rPr>
        <w:t>（自拟）</w:t>
      </w:r>
      <w:bookmarkEnd w:id="107"/>
      <w:bookmarkEnd w:id="108"/>
    </w:p>
    <w:p w14:paraId="4DF90FA6">
      <w:pPr>
        <w:spacing w:line="540" w:lineRule="exact"/>
        <w:ind w:firstLine="822" w:firstLineChars="341"/>
        <w:rPr>
          <w:rFonts w:hint="eastAsia" w:ascii="宋体" w:hAnsi="宋体" w:cs="宋体"/>
          <w:b/>
          <w:bCs/>
          <w:color w:val="auto"/>
          <w:sz w:val="24"/>
        </w:rPr>
      </w:pPr>
      <w:r>
        <w:rPr>
          <w:rFonts w:hint="eastAsia" w:ascii="宋体" w:hAnsi="宋体" w:cs="宋体"/>
          <w:b/>
          <w:bCs/>
          <w:color w:val="auto"/>
          <w:sz w:val="24"/>
        </w:rPr>
        <w:t xml:space="preserve"> </w:t>
      </w:r>
    </w:p>
    <w:p w14:paraId="5BA531A9">
      <w:pPr>
        <w:spacing w:line="540" w:lineRule="exact"/>
        <w:rPr>
          <w:rFonts w:hint="eastAsia" w:ascii="宋体" w:hAnsi="宋体" w:cs="宋体"/>
          <w:b/>
          <w:bCs/>
          <w:color w:val="auto"/>
          <w:sz w:val="24"/>
        </w:rPr>
      </w:pPr>
      <w:r>
        <w:rPr>
          <w:rFonts w:hint="eastAsia" w:ascii="宋体" w:hAnsi="宋体" w:cs="宋体"/>
          <w:b/>
          <w:bCs/>
          <w:color w:val="auto"/>
          <w:sz w:val="24"/>
        </w:rPr>
        <w:t xml:space="preserve"> </w:t>
      </w:r>
    </w:p>
    <w:p w14:paraId="4E6B9654">
      <w:pPr>
        <w:spacing w:line="540" w:lineRule="exact"/>
        <w:rPr>
          <w:rFonts w:hint="eastAsia" w:ascii="宋体" w:hAnsi="宋体" w:cs="宋体"/>
          <w:b/>
          <w:bCs/>
          <w:color w:val="auto"/>
          <w:sz w:val="24"/>
        </w:rPr>
      </w:pPr>
      <w:r>
        <w:rPr>
          <w:rFonts w:hint="eastAsia" w:ascii="宋体" w:hAnsi="宋体" w:cs="宋体"/>
          <w:b/>
          <w:bCs/>
          <w:color w:val="auto"/>
          <w:sz w:val="24"/>
        </w:rPr>
        <w:t xml:space="preserve"> </w:t>
      </w:r>
    </w:p>
    <w:p w14:paraId="2913231C">
      <w:pPr>
        <w:spacing w:line="540" w:lineRule="exact"/>
        <w:rPr>
          <w:rFonts w:hint="eastAsia" w:ascii="宋体" w:hAnsi="宋体" w:cs="宋体"/>
          <w:b/>
          <w:bCs/>
          <w:color w:val="auto"/>
          <w:sz w:val="24"/>
        </w:rPr>
      </w:pPr>
      <w:r>
        <w:rPr>
          <w:rFonts w:hint="eastAsia" w:ascii="宋体" w:hAnsi="宋体" w:cs="宋体"/>
          <w:b/>
          <w:bCs/>
          <w:color w:val="auto"/>
          <w:sz w:val="24"/>
        </w:rPr>
        <w:t xml:space="preserve"> </w:t>
      </w:r>
    </w:p>
    <w:p w14:paraId="7A4C871A">
      <w:pPr>
        <w:spacing w:line="540" w:lineRule="exact"/>
        <w:rPr>
          <w:rFonts w:hint="eastAsia" w:ascii="宋体" w:hAnsi="宋体" w:cs="宋体"/>
          <w:b/>
          <w:bCs/>
          <w:color w:val="auto"/>
          <w:sz w:val="24"/>
        </w:rPr>
      </w:pPr>
      <w:r>
        <w:rPr>
          <w:rFonts w:hint="eastAsia" w:ascii="宋体" w:hAnsi="宋体" w:cs="宋体"/>
          <w:b/>
          <w:bCs/>
          <w:color w:val="auto"/>
          <w:sz w:val="24"/>
        </w:rPr>
        <w:t xml:space="preserve"> </w:t>
      </w:r>
    </w:p>
    <w:p w14:paraId="7E51605C">
      <w:pPr>
        <w:spacing w:line="540" w:lineRule="exact"/>
        <w:rPr>
          <w:rFonts w:hint="eastAsia" w:ascii="宋体" w:hAnsi="宋体" w:cs="宋体"/>
          <w:b/>
          <w:bCs/>
          <w:color w:val="auto"/>
          <w:sz w:val="24"/>
        </w:rPr>
      </w:pPr>
      <w:r>
        <w:rPr>
          <w:rFonts w:hint="eastAsia" w:ascii="宋体" w:hAnsi="宋体" w:cs="宋体"/>
          <w:b/>
          <w:bCs/>
          <w:color w:val="auto"/>
          <w:sz w:val="24"/>
        </w:rPr>
        <w:t xml:space="preserve"> </w:t>
      </w:r>
    </w:p>
    <w:p w14:paraId="7C0A53DB">
      <w:pPr>
        <w:pStyle w:val="2"/>
        <w:pageBreakBefore w:val="0"/>
        <w:numPr>
          <w:ilvl w:val="0"/>
          <w:numId w:val="0"/>
        </w:numPr>
        <w:kinsoku/>
        <w:overflowPunct/>
        <w:topLinePunct w:val="0"/>
        <w:autoSpaceDE/>
        <w:autoSpaceDN/>
        <w:bidi w:val="0"/>
        <w:adjustRightInd/>
        <w:snapToGrid/>
        <w:spacing w:line="440" w:lineRule="exact"/>
        <w:ind w:left="420"/>
        <w:jc w:val="center"/>
        <w:textAlignment w:val="auto"/>
        <w:rPr>
          <w:rFonts w:hint="eastAsia" w:ascii="宋体" w:hAnsi="宋体" w:cs="宋体"/>
          <w:color w:val="auto"/>
          <w:szCs w:val="24"/>
        </w:rPr>
      </w:pPr>
      <w:r>
        <w:rPr>
          <w:rFonts w:hint="eastAsia" w:ascii="宋体" w:hAnsi="宋体" w:cs="宋体"/>
          <w:color w:val="auto"/>
          <w:szCs w:val="24"/>
        </w:rPr>
        <w:br w:type="page"/>
      </w:r>
      <w:bookmarkStart w:id="109" w:name="_Toc27687"/>
      <w:bookmarkEnd w:id="109"/>
      <w:bookmarkStart w:id="110" w:name="_Toc394651921"/>
      <w:bookmarkEnd w:id="110"/>
      <w:bookmarkStart w:id="111" w:name="_Toc528078066"/>
      <w:bookmarkEnd w:id="111"/>
      <w:bookmarkStart w:id="112" w:name="_Toc19996"/>
      <w:r>
        <w:rPr>
          <w:rFonts w:hint="eastAsia" w:ascii="宋体" w:hAnsi="宋体" w:cs="宋体"/>
          <w:bCs/>
          <w:color w:val="auto"/>
          <w:szCs w:val="24"/>
        </w:rPr>
        <w:t>一、</w:t>
      </w:r>
      <w:bookmarkEnd w:id="112"/>
      <w:r>
        <w:rPr>
          <w:rFonts w:hint="eastAsia" w:ascii="宋体" w:hAnsi="宋体" w:cs="宋体"/>
          <w:bCs/>
          <w:color w:val="auto"/>
          <w:szCs w:val="24"/>
        </w:rPr>
        <w:t>投标函</w:t>
      </w:r>
      <w:bookmarkStart w:id="113" w:name="_Toc394651922"/>
      <w:bookmarkEnd w:id="113"/>
      <w:bookmarkStart w:id="114" w:name="_Toc19389"/>
      <w:bookmarkEnd w:id="114"/>
      <w:bookmarkStart w:id="115" w:name="_Toc247085875"/>
      <w:bookmarkEnd w:id="115"/>
      <w:bookmarkStart w:id="116" w:name="_Toc246997100"/>
      <w:bookmarkEnd w:id="116"/>
      <w:bookmarkStart w:id="117" w:name="_Toc144974858"/>
      <w:bookmarkEnd w:id="117"/>
      <w:bookmarkStart w:id="118" w:name="_Toc246996357"/>
      <w:bookmarkEnd w:id="118"/>
      <w:bookmarkStart w:id="119" w:name="_Toc152045789"/>
      <w:bookmarkEnd w:id="119"/>
      <w:bookmarkStart w:id="120" w:name="_Toc152042578"/>
      <w:bookmarkEnd w:id="120"/>
      <w:bookmarkStart w:id="121" w:name="_Toc179632809"/>
      <w:bookmarkEnd w:id="121"/>
    </w:p>
    <w:p w14:paraId="69FA1568">
      <w:pPr>
        <w:pStyle w:val="12"/>
        <w:pageBreakBefore w:val="0"/>
        <w:kinsoku/>
        <w:overflowPunct/>
        <w:topLinePunct w:val="0"/>
        <w:autoSpaceDE/>
        <w:autoSpaceDN/>
        <w:bidi w:val="0"/>
        <w:adjustRightInd/>
        <w:snapToGrid/>
        <w:spacing w:before="0" w:beforeAutospacing="0" w:after="0" w:afterAutospacing="0" w:line="440" w:lineRule="exact"/>
        <w:textAlignment w:val="auto"/>
        <w:rPr>
          <w:rFonts w:hint="eastAsia" w:cs="宋体"/>
          <w:color w:val="auto"/>
        </w:rPr>
      </w:pPr>
      <w:r>
        <w:rPr>
          <w:rFonts w:hint="eastAsia" w:cs="宋体"/>
          <w:color w:val="auto"/>
        </w:rPr>
        <w:t>致：</w:t>
      </w:r>
      <w:r>
        <w:rPr>
          <w:rFonts w:hint="eastAsia" w:cs="宋体"/>
          <w:color w:val="auto"/>
          <w:u w:val="single"/>
        </w:rPr>
        <w:t xml:space="preserve">                   </w:t>
      </w:r>
      <w:r>
        <w:rPr>
          <w:rFonts w:hint="eastAsia" w:cs="宋体"/>
          <w:color w:val="auto"/>
        </w:rPr>
        <w:tab/>
      </w:r>
      <w:r>
        <w:rPr>
          <w:rFonts w:hint="eastAsia" w:cs="宋体"/>
          <w:color w:val="auto"/>
        </w:rPr>
        <w:t>(</w:t>
      </w:r>
      <w:r>
        <w:rPr>
          <w:rFonts w:hint="eastAsia" w:cs="宋体"/>
          <w:color w:val="auto"/>
          <w:lang w:eastAsia="zh-CN"/>
        </w:rPr>
        <w:t>采购人</w:t>
      </w:r>
      <w:r>
        <w:rPr>
          <w:rFonts w:hint="eastAsia" w:cs="宋体"/>
          <w:color w:val="auto"/>
        </w:rPr>
        <w:t xml:space="preserve">名称） </w:t>
      </w:r>
      <w:r>
        <w:rPr>
          <w:rFonts w:hint="eastAsia" w:cs="宋体"/>
          <w:color w:val="auto"/>
        </w:rPr>
        <w:tab/>
      </w:r>
    </w:p>
    <w:p w14:paraId="0FD4A288">
      <w:pPr>
        <w:pStyle w:val="12"/>
        <w:pageBreakBefore w:val="0"/>
        <w:kinsoku/>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auto"/>
        </w:rPr>
      </w:pPr>
      <w:r>
        <w:rPr>
          <w:rFonts w:hint="eastAsia" w:cs="宋体"/>
          <w:color w:val="auto"/>
        </w:rPr>
        <w:t>根据已收到贵方的采购项目编号为</w:t>
      </w:r>
      <w:r>
        <w:rPr>
          <w:rFonts w:hint="eastAsia" w:cs="宋体"/>
          <w:color w:val="auto"/>
          <w:u w:val="single"/>
        </w:rPr>
        <w:t xml:space="preserve">               </w:t>
      </w:r>
      <w:r>
        <w:rPr>
          <w:rFonts w:hint="eastAsia" w:cs="宋体"/>
          <w:color w:val="auto"/>
        </w:rPr>
        <w:t>的（项目名称）</w:t>
      </w:r>
      <w:r>
        <w:rPr>
          <w:rFonts w:hint="eastAsia" w:cs="宋体"/>
          <w:color w:val="auto"/>
          <w:u w:val="single"/>
        </w:rPr>
        <w:t xml:space="preserve">             </w:t>
      </w:r>
      <w:r>
        <w:rPr>
          <w:rFonts w:hint="eastAsia" w:cs="宋体"/>
          <w:color w:val="auto"/>
        </w:rPr>
        <w:t>招标文件，经详细研究，我们决定参加该项目的招标采购活动并按要求提交投标文件。我们郑重声明以下诸点并负法律责任:</w:t>
      </w:r>
    </w:p>
    <w:p w14:paraId="20D53F56">
      <w:pPr>
        <w:pStyle w:val="12"/>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auto"/>
        </w:rPr>
      </w:pPr>
      <w:r>
        <w:rPr>
          <w:rFonts w:hint="eastAsia" w:cs="宋体"/>
          <w:color w:val="auto"/>
        </w:rPr>
        <w:t>(1)愿按照招标文件中规定的条款和要求，提供完成招标文件规定的全部工作，</w:t>
      </w:r>
      <w:r>
        <w:rPr>
          <w:rFonts w:hint="eastAsia" w:cs="宋体"/>
          <w:color w:val="auto"/>
          <w:lang w:val="en-US" w:eastAsia="zh-CN"/>
        </w:rPr>
        <w:t>供货期</w:t>
      </w:r>
      <w:r>
        <w:rPr>
          <w:rFonts w:hint="eastAsia" w:cs="宋体"/>
          <w:color w:val="auto"/>
        </w:rPr>
        <w:t>为</w:t>
      </w:r>
      <w:r>
        <w:rPr>
          <w:rFonts w:hint="eastAsia" w:cs="宋体"/>
          <w:color w:val="auto"/>
          <w:u w:val="single"/>
        </w:rPr>
        <w:t xml:space="preserve">              </w:t>
      </w:r>
      <w:r>
        <w:rPr>
          <w:rFonts w:hint="eastAsia" w:cs="宋体"/>
          <w:color w:val="auto"/>
        </w:rPr>
        <w:t>,质量要求：</w:t>
      </w:r>
      <w:r>
        <w:rPr>
          <w:rFonts w:hint="eastAsia" w:cs="宋体"/>
          <w:color w:val="auto"/>
          <w:u w:val="single"/>
        </w:rPr>
        <w:t xml:space="preserve">            </w:t>
      </w:r>
      <w:r>
        <w:rPr>
          <w:rFonts w:hint="eastAsia" w:cs="宋体"/>
          <w:color w:val="auto"/>
          <w:u w:val="single"/>
          <w:lang w:eastAsia="zh-CN"/>
        </w:rPr>
        <w:t>，</w:t>
      </w:r>
      <w:r>
        <w:rPr>
          <w:rFonts w:hint="eastAsia" w:cs="宋体"/>
          <w:color w:val="auto"/>
          <w:u w:val="none"/>
          <w:lang w:val="en-US" w:eastAsia="zh-CN"/>
        </w:rPr>
        <w:t>投标报价：</w:t>
      </w:r>
      <w:r>
        <w:rPr>
          <w:rFonts w:hint="eastAsia" w:cs="宋体"/>
          <w:color w:val="auto"/>
          <w:u w:val="single"/>
          <w:lang w:val="en-US" w:eastAsia="zh-CN"/>
        </w:rPr>
        <w:t xml:space="preserve">         </w:t>
      </w:r>
      <w:r>
        <w:rPr>
          <w:rFonts w:hint="eastAsia" w:cs="宋体"/>
          <w:color w:val="auto"/>
        </w:rPr>
        <w:t>。</w:t>
      </w:r>
    </w:p>
    <w:p w14:paraId="1B991073">
      <w:pPr>
        <w:pStyle w:val="12"/>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auto"/>
        </w:rPr>
      </w:pPr>
      <w:r>
        <w:rPr>
          <w:rFonts w:hint="eastAsia" w:cs="宋体"/>
          <w:color w:val="auto"/>
        </w:rPr>
        <w:t>(2)如果我们的投标文件被接受，我们将履行招标文件中规定的各项要求。</w:t>
      </w:r>
    </w:p>
    <w:p w14:paraId="173479A3">
      <w:pPr>
        <w:pStyle w:val="12"/>
        <w:pageBreakBefore w:val="0"/>
        <w:kinsoku/>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auto"/>
        </w:rPr>
      </w:pPr>
      <w:r>
        <w:rPr>
          <w:rFonts w:hint="eastAsia" w:cs="宋体"/>
          <w:color w:val="auto"/>
        </w:rPr>
        <w:t>(3)我们同意本招标文件中有关有效期的规定。如果成交，有效期延长至合同终止日止。</w:t>
      </w:r>
    </w:p>
    <w:p w14:paraId="640028C5">
      <w:pPr>
        <w:pStyle w:val="12"/>
        <w:pageBreakBefore w:val="0"/>
        <w:kinsoku/>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auto"/>
        </w:rPr>
      </w:pPr>
      <w:r>
        <w:rPr>
          <w:rFonts w:hint="eastAsia" w:cs="宋体"/>
          <w:color w:val="auto"/>
        </w:rPr>
        <w:t>(4)我们愿提供招标文件中要求的所有文件资料。</w:t>
      </w:r>
    </w:p>
    <w:p w14:paraId="53B37876">
      <w:pPr>
        <w:pStyle w:val="12"/>
        <w:pageBreakBefore w:val="0"/>
        <w:kinsoku/>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auto"/>
        </w:rPr>
      </w:pPr>
      <w:r>
        <w:rPr>
          <w:rFonts w:hint="eastAsia" w:cs="宋体"/>
          <w:color w:val="auto"/>
        </w:rPr>
        <w:t>(5)我们已经详细审核了全部招标文件，如有需要澄清的问题，我们同意按招标文件规定的时间向</w:t>
      </w:r>
      <w:r>
        <w:rPr>
          <w:rFonts w:hint="eastAsia" w:cs="宋体"/>
          <w:color w:val="auto"/>
          <w:lang w:eastAsia="zh-CN"/>
        </w:rPr>
        <w:t>采购人</w:t>
      </w:r>
      <w:r>
        <w:rPr>
          <w:rFonts w:hint="eastAsia" w:cs="宋体"/>
          <w:color w:val="auto"/>
        </w:rPr>
        <w:t xml:space="preserve">提出。逾期不提，我公司同意放弃对这方面有不明及误解的权利。 </w:t>
      </w:r>
    </w:p>
    <w:p w14:paraId="2A6180A1">
      <w:pPr>
        <w:pStyle w:val="12"/>
        <w:pageBreakBefore w:val="0"/>
        <w:kinsoku/>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auto"/>
        </w:rPr>
      </w:pPr>
      <w:r>
        <w:rPr>
          <w:rFonts w:hint="eastAsia" w:cs="宋体"/>
          <w:color w:val="auto"/>
        </w:rPr>
        <w:t>(6)我们承诺，与</w:t>
      </w:r>
      <w:r>
        <w:rPr>
          <w:rFonts w:hint="eastAsia" w:cs="宋体"/>
          <w:color w:val="auto"/>
          <w:lang w:eastAsia="zh-CN"/>
        </w:rPr>
        <w:t>采购人</w:t>
      </w:r>
      <w:r>
        <w:rPr>
          <w:rFonts w:hint="eastAsia" w:cs="宋体"/>
          <w:color w:val="auto"/>
        </w:rPr>
        <w:t>聘请的为此项目提供咨询服务及任何附属机构均无关联，非</w:t>
      </w:r>
      <w:r>
        <w:rPr>
          <w:rFonts w:hint="eastAsia" w:cs="宋体"/>
          <w:color w:val="auto"/>
          <w:lang w:eastAsia="zh-CN"/>
        </w:rPr>
        <w:t>采购人</w:t>
      </w:r>
      <w:r>
        <w:rPr>
          <w:rFonts w:hint="eastAsia" w:cs="宋体"/>
          <w:color w:val="auto"/>
        </w:rPr>
        <w:t>的附属机构。</w:t>
      </w:r>
    </w:p>
    <w:p w14:paraId="48612DE1">
      <w:pPr>
        <w:pStyle w:val="12"/>
        <w:pageBreakBefore w:val="0"/>
        <w:kinsoku/>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auto"/>
        </w:rPr>
      </w:pPr>
      <w:r>
        <w:rPr>
          <w:rFonts w:hint="eastAsia" w:cs="宋体"/>
          <w:color w:val="auto"/>
        </w:rPr>
        <w:t>(7)我公司同意提供按照</w:t>
      </w:r>
      <w:r>
        <w:rPr>
          <w:rFonts w:hint="eastAsia" w:cs="宋体"/>
          <w:color w:val="auto"/>
          <w:lang w:eastAsia="zh-CN"/>
        </w:rPr>
        <w:t>采购人</w:t>
      </w:r>
      <w:r>
        <w:rPr>
          <w:rFonts w:hint="eastAsia" w:cs="宋体"/>
          <w:color w:val="auto"/>
        </w:rPr>
        <w:t>可能要求的与其采购响应有关的一切数据或资料，完全理解</w:t>
      </w:r>
      <w:r>
        <w:rPr>
          <w:rFonts w:hint="eastAsia" w:cs="宋体"/>
          <w:color w:val="auto"/>
          <w:lang w:eastAsia="zh-CN"/>
        </w:rPr>
        <w:t>采购人</w:t>
      </w:r>
      <w:r>
        <w:rPr>
          <w:rFonts w:hint="eastAsia" w:cs="宋体"/>
          <w:color w:val="auto"/>
        </w:rPr>
        <w:t>不一定接受最低价的投标或收到的任何投标。</w:t>
      </w:r>
    </w:p>
    <w:p w14:paraId="354F9910">
      <w:pPr>
        <w:pStyle w:val="12"/>
        <w:pageBreakBefore w:val="0"/>
        <w:kinsoku/>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auto"/>
        </w:rPr>
      </w:pPr>
      <w:r>
        <w:rPr>
          <w:rFonts w:hint="eastAsia" w:cs="宋体"/>
          <w:color w:val="auto"/>
        </w:rPr>
        <w:t>(8)我们愿按《中华人民共和国民法典》履行自己的全部责任。</w:t>
      </w:r>
    </w:p>
    <w:p w14:paraId="1F3AE44B">
      <w:pPr>
        <w:pageBreakBefore w:val="0"/>
        <w:kinsoku/>
        <w:overflowPunct/>
        <w:topLinePunct w:val="0"/>
        <w:autoSpaceDE/>
        <w:autoSpaceDN/>
        <w:bidi w:val="0"/>
        <w:adjustRightInd/>
        <w:snapToGrid/>
        <w:spacing w:line="440" w:lineRule="exact"/>
        <w:ind w:firstLine="4200" w:firstLineChars="1750"/>
        <w:textAlignment w:val="auto"/>
        <w:rPr>
          <w:rFonts w:hint="eastAsia" w:ascii="宋体" w:hAnsi="宋体" w:cs="宋体"/>
          <w:color w:val="auto"/>
          <w:sz w:val="24"/>
        </w:rPr>
      </w:pPr>
    </w:p>
    <w:p w14:paraId="713C7477">
      <w:pPr>
        <w:pageBreakBefore w:val="0"/>
        <w:kinsoku/>
        <w:overflowPunct/>
        <w:topLinePunct w:val="0"/>
        <w:autoSpaceDE/>
        <w:autoSpaceDN/>
        <w:bidi w:val="0"/>
        <w:adjustRightInd/>
        <w:snapToGrid/>
        <w:spacing w:line="440" w:lineRule="exact"/>
        <w:ind w:firstLine="4200" w:firstLineChars="1750"/>
        <w:textAlignment w:val="auto"/>
        <w:rPr>
          <w:rFonts w:hint="eastAsia" w:ascii="宋体" w:hAnsi="宋体" w:cs="宋体"/>
          <w:color w:val="auto"/>
          <w:sz w:val="24"/>
        </w:rPr>
      </w:pPr>
      <w:r>
        <w:rPr>
          <w:rFonts w:hint="eastAsia" w:ascii="宋体" w:hAnsi="宋体" w:cs="宋体"/>
          <w:color w:val="auto"/>
          <w:sz w:val="24"/>
        </w:rPr>
        <w:t>供应商：（盖单位章）</w:t>
      </w:r>
    </w:p>
    <w:p w14:paraId="5691FB9A">
      <w:pPr>
        <w:pageBreakBefore w:val="0"/>
        <w:kinsoku/>
        <w:overflowPunct/>
        <w:topLinePunct w:val="0"/>
        <w:autoSpaceDE/>
        <w:autoSpaceDN/>
        <w:bidi w:val="0"/>
        <w:adjustRightInd/>
        <w:snapToGrid/>
        <w:spacing w:line="440" w:lineRule="exact"/>
        <w:ind w:firstLine="4200" w:firstLineChars="1750"/>
        <w:textAlignment w:val="auto"/>
        <w:rPr>
          <w:rFonts w:hint="eastAsia" w:ascii="宋体" w:hAnsi="宋体" w:cs="宋体"/>
          <w:color w:val="auto"/>
          <w:sz w:val="24"/>
        </w:rPr>
      </w:pPr>
      <w:r>
        <w:rPr>
          <w:rFonts w:hint="eastAsia" w:ascii="宋体" w:hAnsi="宋体" w:cs="宋体"/>
          <w:color w:val="auto"/>
          <w:sz w:val="24"/>
        </w:rPr>
        <w:t>法定代表人：（盖章）</w:t>
      </w:r>
    </w:p>
    <w:p w14:paraId="1E3F95F4">
      <w:pPr>
        <w:pageBreakBefore w:val="0"/>
        <w:kinsoku/>
        <w:overflowPunct/>
        <w:topLinePunct w:val="0"/>
        <w:autoSpaceDE/>
        <w:autoSpaceDN/>
        <w:bidi w:val="0"/>
        <w:adjustRightInd/>
        <w:snapToGrid/>
        <w:spacing w:line="440" w:lineRule="exact"/>
        <w:ind w:firstLine="4200" w:firstLineChars="1750"/>
        <w:textAlignment w:val="auto"/>
        <w:rPr>
          <w:rFonts w:hint="eastAsia" w:ascii="宋体" w:hAnsi="宋体" w:cs="宋体"/>
          <w:color w:val="auto"/>
          <w:sz w:val="24"/>
        </w:rPr>
      </w:pPr>
      <w:r>
        <w:rPr>
          <w:rFonts w:hint="eastAsia" w:ascii="宋体" w:hAnsi="宋体" w:cs="宋体"/>
          <w:color w:val="auto"/>
          <w:sz w:val="24"/>
        </w:rPr>
        <w:t>地址：</w:t>
      </w:r>
    </w:p>
    <w:p w14:paraId="0F275564">
      <w:pPr>
        <w:pageBreakBefore w:val="0"/>
        <w:kinsoku/>
        <w:overflowPunct/>
        <w:topLinePunct w:val="0"/>
        <w:autoSpaceDE/>
        <w:autoSpaceDN/>
        <w:bidi w:val="0"/>
        <w:adjustRightInd/>
        <w:snapToGrid/>
        <w:spacing w:line="440" w:lineRule="exact"/>
        <w:ind w:firstLine="4200" w:firstLineChars="1750"/>
        <w:textAlignment w:val="auto"/>
        <w:rPr>
          <w:rFonts w:hint="eastAsia" w:ascii="宋体" w:hAnsi="宋体" w:cs="宋体"/>
          <w:color w:val="auto"/>
          <w:sz w:val="24"/>
        </w:rPr>
      </w:pPr>
      <w:r>
        <w:rPr>
          <w:rFonts w:hint="eastAsia" w:ascii="宋体" w:hAnsi="宋体" w:cs="宋体"/>
          <w:color w:val="auto"/>
          <w:sz w:val="24"/>
        </w:rPr>
        <w:t>电话：</w:t>
      </w:r>
    </w:p>
    <w:p w14:paraId="450CD644">
      <w:pPr>
        <w:pageBreakBefore w:val="0"/>
        <w:kinsoku/>
        <w:overflowPunct/>
        <w:topLinePunct w:val="0"/>
        <w:autoSpaceDE/>
        <w:autoSpaceDN/>
        <w:bidi w:val="0"/>
        <w:adjustRightInd/>
        <w:snapToGrid/>
        <w:spacing w:line="440" w:lineRule="exact"/>
        <w:ind w:firstLine="4200" w:firstLineChars="1750"/>
        <w:textAlignment w:val="auto"/>
        <w:rPr>
          <w:rFonts w:hint="eastAsia" w:ascii="宋体" w:hAnsi="宋体" w:cs="宋体"/>
          <w:color w:val="auto"/>
          <w:sz w:val="24"/>
        </w:rPr>
      </w:pPr>
      <w:r>
        <w:rPr>
          <w:rFonts w:hint="eastAsia" w:ascii="宋体" w:hAnsi="宋体" w:cs="宋体"/>
          <w:color w:val="auto"/>
          <w:sz w:val="24"/>
        </w:rPr>
        <w:t>年  月  日</w:t>
      </w:r>
      <w:bookmarkStart w:id="122" w:name="_Toc394651923"/>
      <w:bookmarkEnd w:id="122"/>
      <w:bookmarkStart w:id="123" w:name="_Toc27200"/>
      <w:bookmarkEnd w:id="123"/>
      <w:bookmarkStart w:id="124" w:name="_Toc179632810"/>
      <w:bookmarkEnd w:id="124"/>
      <w:bookmarkStart w:id="125" w:name="_Toc246997101"/>
      <w:bookmarkEnd w:id="125"/>
      <w:bookmarkStart w:id="126" w:name="_Toc246996358"/>
      <w:bookmarkEnd w:id="126"/>
      <w:bookmarkStart w:id="127" w:name="_Toc144974859"/>
      <w:bookmarkEnd w:id="127"/>
      <w:bookmarkStart w:id="128" w:name="_Toc152042579"/>
      <w:bookmarkEnd w:id="128"/>
      <w:bookmarkStart w:id="129" w:name="_Toc152045790"/>
      <w:bookmarkEnd w:id="129"/>
    </w:p>
    <w:p w14:paraId="1C10D875">
      <w:pPr>
        <w:jc w:val="center"/>
        <w:rPr>
          <w:rFonts w:hint="eastAsia" w:ascii="宋体" w:hAnsi="宋体" w:cs="宋体"/>
          <w:b/>
          <w:bCs/>
          <w:color w:val="auto"/>
          <w:sz w:val="24"/>
        </w:rPr>
      </w:pPr>
      <w:r>
        <w:rPr>
          <w:rFonts w:hint="eastAsia" w:ascii="宋体" w:hAnsi="宋体" w:cs="宋体"/>
          <w:b/>
          <w:bCs/>
          <w:color w:val="auto"/>
          <w:sz w:val="24"/>
        </w:rPr>
        <w:br w:type="page"/>
      </w:r>
      <w:bookmarkStart w:id="130" w:name="_Toc528078068"/>
      <w:bookmarkEnd w:id="130"/>
    </w:p>
    <w:p w14:paraId="7060BADF">
      <w:pPr>
        <w:jc w:val="center"/>
        <w:rPr>
          <w:rFonts w:hint="eastAsia" w:ascii="宋体" w:hAnsi="宋体" w:cs="宋体"/>
          <w:b/>
          <w:bCs/>
          <w:color w:val="auto"/>
          <w:sz w:val="24"/>
        </w:rPr>
      </w:pPr>
      <w:r>
        <w:rPr>
          <w:rFonts w:hint="eastAsia" w:ascii="宋体" w:hAnsi="宋体" w:cs="宋体"/>
          <w:b/>
          <w:bCs/>
          <w:color w:val="auto"/>
          <w:sz w:val="24"/>
        </w:rPr>
        <w:t>1.投标报价一览表</w:t>
      </w:r>
    </w:p>
    <w:tbl>
      <w:tblPr>
        <w:tblStyle w:val="17"/>
        <w:tblW w:w="9288" w:type="dxa"/>
        <w:tblInd w:w="96" w:type="dxa"/>
        <w:tblLayout w:type="fixed"/>
        <w:tblCellMar>
          <w:top w:w="0" w:type="dxa"/>
          <w:left w:w="0" w:type="dxa"/>
          <w:bottom w:w="0" w:type="dxa"/>
          <w:right w:w="0" w:type="dxa"/>
        </w:tblCellMar>
      </w:tblPr>
      <w:tblGrid>
        <w:gridCol w:w="2065"/>
        <w:gridCol w:w="2783"/>
        <w:gridCol w:w="2220"/>
        <w:gridCol w:w="2220"/>
      </w:tblGrid>
      <w:tr w14:paraId="3141AEF9">
        <w:tblPrEx>
          <w:tblCellMar>
            <w:top w:w="0" w:type="dxa"/>
            <w:left w:w="0" w:type="dxa"/>
            <w:bottom w:w="0" w:type="dxa"/>
            <w:right w:w="0" w:type="dxa"/>
          </w:tblCellMar>
        </w:tblPrEx>
        <w:trPr>
          <w:trHeight w:val="669" w:hRule="exact"/>
        </w:trPr>
        <w:tc>
          <w:tcPr>
            <w:tcW w:w="2065" w:type="dxa"/>
            <w:tcBorders>
              <w:top w:val="single" w:color="000000" w:sz="4" w:space="0"/>
              <w:left w:val="single" w:color="000000" w:sz="4" w:space="0"/>
              <w:bottom w:val="single" w:color="000000" w:sz="4" w:space="0"/>
              <w:right w:val="single" w:color="000000" w:sz="4" w:space="0"/>
            </w:tcBorders>
            <w:noWrap w:val="0"/>
            <w:vAlign w:val="center"/>
          </w:tcPr>
          <w:p w14:paraId="1D3DD9CF">
            <w:pPr>
              <w:pStyle w:val="34"/>
              <w:spacing w:before="137"/>
              <w:jc w:val="center"/>
              <w:rPr>
                <w:rFonts w:hint="eastAsia" w:ascii="宋体" w:hAnsi="宋体" w:cs="宋体"/>
                <w:color w:val="auto"/>
                <w:sz w:val="24"/>
              </w:rPr>
            </w:pPr>
            <w:r>
              <w:rPr>
                <w:rFonts w:hint="eastAsia" w:ascii="宋体" w:hAnsi="宋体" w:cs="宋体"/>
                <w:color w:val="auto"/>
                <w:sz w:val="24"/>
              </w:rPr>
              <w:t>供应商名称</w:t>
            </w:r>
          </w:p>
        </w:tc>
        <w:tc>
          <w:tcPr>
            <w:tcW w:w="7223" w:type="dxa"/>
            <w:gridSpan w:val="3"/>
            <w:tcBorders>
              <w:top w:val="single" w:color="000000" w:sz="4" w:space="0"/>
              <w:left w:val="single" w:color="000000" w:sz="4" w:space="0"/>
              <w:bottom w:val="single" w:color="000000" w:sz="4" w:space="0"/>
              <w:right w:val="single" w:color="000000" w:sz="4" w:space="0"/>
            </w:tcBorders>
            <w:noWrap w:val="0"/>
            <w:vAlign w:val="top"/>
          </w:tcPr>
          <w:p w14:paraId="52D649AF">
            <w:pPr>
              <w:rPr>
                <w:rFonts w:hint="eastAsia" w:ascii="宋体" w:hAnsi="宋体" w:cs="宋体"/>
                <w:color w:val="auto"/>
                <w:sz w:val="24"/>
              </w:rPr>
            </w:pPr>
          </w:p>
        </w:tc>
      </w:tr>
      <w:tr w14:paraId="3549B174">
        <w:tblPrEx>
          <w:tblCellMar>
            <w:top w:w="0" w:type="dxa"/>
            <w:left w:w="0" w:type="dxa"/>
            <w:bottom w:w="0" w:type="dxa"/>
            <w:right w:w="0" w:type="dxa"/>
          </w:tblCellMar>
        </w:tblPrEx>
        <w:trPr>
          <w:trHeight w:val="662" w:hRule="exact"/>
        </w:trPr>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FF35C7A">
            <w:pPr>
              <w:pStyle w:val="34"/>
              <w:spacing w:before="136"/>
              <w:jc w:val="center"/>
              <w:rPr>
                <w:rFonts w:hint="eastAsia" w:ascii="宋体" w:hAnsi="宋体" w:cs="宋体"/>
                <w:color w:val="auto"/>
                <w:sz w:val="24"/>
              </w:rPr>
            </w:pPr>
            <w:r>
              <w:rPr>
                <w:rFonts w:hint="eastAsia" w:ascii="宋体" w:hAnsi="宋体" w:cs="宋体"/>
                <w:color w:val="auto"/>
                <w:sz w:val="24"/>
              </w:rPr>
              <w:t>项目名称</w:t>
            </w:r>
          </w:p>
        </w:tc>
        <w:tc>
          <w:tcPr>
            <w:tcW w:w="7223" w:type="dxa"/>
            <w:gridSpan w:val="3"/>
            <w:tcBorders>
              <w:top w:val="single" w:color="000000" w:sz="4" w:space="0"/>
              <w:left w:val="single" w:color="000000" w:sz="4" w:space="0"/>
              <w:bottom w:val="single" w:color="000000" w:sz="4" w:space="0"/>
              <w:right w:val="single" w:color="000000" w:sz="4" w:space="0"/>
            </w:tcBorders>
            <w:noWrap w:val="0"/>
            <w:vAlign w:val="top"/>
          </w:tcPr>
          <w:p w14:paraId="305CC92E">
            <w:pPr>
              <w:rPr>
                <w:rFonts w:hint="eastAsia" w:ascii="宋体" w:hAnsi="宋体" w:cs="宋体"/>
                <w:color w:val="auto"/>
                <w:sz w:val="24"/>
              </w:rPr>
            </w:pPr>
          </w:p>
        </w:tc>
      </w:tr>
      <w:tr w14:paraId="605C1AA9">
        <w:tblPrEx>
          <w:tblCellMar>
            <w:top w:w="0" w:type="dxa"/>
            <w:left w:w="0" w:type="dxa"/>
            <w:bottom w:w="0" w:type="dxa"/>
            <w:right w:w="0" w:type="dxa"/>
          </w:tblCellMar>
        </w:tblPrEx>
        <w:trPr>
          <w:trHeight w:val="692" w:hRule="exact"/>
        </w:trPr>
        <w:tc>
          <w:tcPr>
            <w:tcW w:w="2065" w:type="dxa"/>
            <w:tcBorders>
              <w:top w:val="single" w:color="000000" w:sz="4" w:space="0"/>
              <w:left w:val="single" w:color="000000" w:sz="4" w:space="0"/>
              <w:bottom w:val="single" w:color="000000" w:sz="4" w:space="0"/>
              <w:right w:val="single" w:color="000000" w:sz="4" w:space="0"/>
            </w:tcBorders>
            <w:noWrap w:val="0"/>
            <w:vAlign w:val="center"/>
          </w:tcPr>
          <w:p w14:paraId="743A6F06">
            <w:pPr>
              <w:pStyle w:val="34"/>
              <w:spacing w:before="136"/>
              <w:jc w:val="center"/>
              <w:rPr>
                <w:rFonts w:hint="eastAsia" w:ascii="宋体" w:hAnsi="宋体" w:cs="宋体"/>
                <w:color w:val="auto"/>
                <w:sz w:val="24"/>
              </w:rPr>
            </w:pPr>
            <w:r>
              <w:rPr>
                <w:rFonts w:hint="eastAsia" w:ascii="宋体" w:hAnsi="宋体" w:cs="宋体"/>
                <w:color w:val="auto"/>
                <w:sz w:val="24"/>
              </w:rPr>
              <w:t>项目编号</w:t>
            </w:r>
          </w:p>
        </w:tc>
        <w:tc>
          <w:tcPr>
            <w:tcW w:w="7223" w:type="dxa"/>
            <w:gridSpan w:val="3"/>
            <w:tcBorders>
              <w:top w:val="single" w:color="000000" w:sz="4" w:space="0"/>
              <w:left w:val="single" w:color="000000" w:sz="4" w:space="0"/>
              <w:bottom w:val="single" w:color="000000" w:sz="4" w:space="0"/>
              <w:right w:val="single" w:color="000000" w:sz="4" w:space="0"/>
            </w:tcBorders>
            <w:noWrap w:val="0"/>
            <w:vAlign w:val="top"/>
          </w:tcPr>
          <w:p w14:paraId="42E3D432">
            <w:pPr>
              <w:rPr>
                <w:rFonts w:hint="eastAsia" w:ascii="宋体" w:hAnsi="宋体" w:cs="宋体"/>
                <w:color w:val="auto"/>
                <w:sz w:val="24"/>
              </w:rPr>
            </w:pPr>
          </w:p>
        </w:tc>
      </w:tr>
      <w:tr w14:paraId="13087FF1">
        <w:tblPrEx>
          <w:tblCellMar>
            <w:top w:w="0" w:type="dxa"/>
            <w:left w:w="0" w:type="dxa"/>
            <w:bottom w:w="0" w:type="dxa"/>
            <w:right w:w="0" w:type="dxa"/>
          </w:tblCellMar>
        </w:tblPrEx>
        <w:trPr>
          <w:trHeight w:val="1466" w:hRule="exact"/>
        </w:trPr>
        <w:tc>
          <w:tcPr>
            <w:tcW w:w="2065" w:type="dxa"/>
            <w:tcBorders>
              <w:top w:val="single" w:color="000000" w:sz="4" w:space="0"/>
              <w:left w:val="single" w:color="000000" w:sz="4" w:space="0"/>
              <w:bottom w:val="single" w:color="000000" w:sz="4" w:space="0"/>
              <w:right w:val="single" w:color="000000" w:sz="4" w:space="0"/>
            </w:tcBorders>
            <w:noWrap w:val="0"/>
            <w:vAlign w:val="center"/>
          </w:tcPr>
          <w:p w14:paraId="7EBC9C2C">
            <w:pPr>
              <w:spacing w:line="360" w:lineRule="auto"/>
              <w:jc w:val="center"/>
              <w:rPr>
                <w:rFonts w:hint="eastAsia" w:ascii="宋体" w:hAnsi="宋体" w:cs="宋体"/>
                <w:color w:val="auto"/>
                <w:sz w:val="24"/>
              </w:rPr>
            </w:pPr>
          </w:p>
          <w:p w14:paraId="64F1FFAB">
            <w:pPr>
              <w:spacing w:line="360" w:lineRule="auto"/>
              <w:jc w:val="center"/>
              <w:rPr>
                <w:rFonts w:hint="eastAsia" w:ascii="宋体" w:hAnsi="宋体" w:cs="宋体"/>
                <w:color w:val="auto"/>
                <w:sz w:val="24"/>
              </w:rPr>
            </w:pPr>
            <w:r>
              <w:rPr>
                <w:rFonts w:hint="eastAsia" w:ascii="宋体" w:hAnsi="宋体" w:cs="宋体"/>
                <w:color w:val="auto"/>
                <w:sz w:val="24"/>
              </w:rPr>
              <w:t>投标报价（元）</w:t>
            </w:r>
          </w:p>
          <w:p w14:paraId="0C1D54B6">
            <w:pPr>
              <w:pStyle w:val="34"/>
              <w:spacing w:before="135"/>
              <w:jc w:val="center"/>
              <w:rPr>
                <w:rFonts w:hint="eastAsia" w:ascii="宋体" w:hAnsi="宋体" w:cs="宋体"/>
                <w:color w:val="auto"/>
                <w:sz w:val="24"/>
              </w:rPr>
            </w:pPr>
          </w:p>
        </w:tc>
        <w:tc>
          <w:tcPr>
            <w:tcW w:w="7223" w:type="dxa"/>
            <w:gridSpan w:val="3"/>
            <w:tcBorders>
              <w:top w:val="single" w:color="000000" w:sz="4" w:space="0"/>
              <w:left w:val="single" w:color="000000" w:sz="4" w:space="0"/>
              <w:bottom w:val="single" w:color="000000" w:sz="4" w:space="0"/>
              <w:right w:val="single" w:color="000000" w:sz="4" w:space="0"/>
            </w:tcBorders>
            <w:noWrap w:val="0"/>
            <w:vAlign w:val="top"/>
          </w:tcPr>
          <w:p w14:paraId="7D5E542E">
            <w:pPr>
              <w:rPr>
                <w:rFonts w:hint="eastAsia" w:ascii="宋体" w:hAnsi="宋体" w:cs="宋体"/>
                <w:color w:val="auto"/>
                <w:sz w:val="24"/>
              </w:rPr>
            </w:pPr>
          </w:p>
          <w:p w14:paraId="5D7A85DC">
            <w:pPr>
              <w:rPr>
                <w:rFonts w:hint="eastAsia" w:ascii="宋体" w:hAnsi="宋体" w:cs="宋体"/>
                <w:color w:val="auto"/>
                <w:sz w:val="24"/>
              </w:rPr>
            </w:pPr>
            <w:r>
              <w:rPr>
                <w:rFonts w:hint="eastAsia" w:ascii="宋体" w:hAnsi="宋体" w:cs="宋体"/>
                <w:color w:val="auto"/>
                <w:sz w:val="24"/>
              </w:rPr>
              <w:t>大写：</w:t>
            </w:r>
          </w:p>
          <w:p w14:paraId="53FEE77C">
            <w:pPr>
              <w:rPr>
                <w:rFonts w:hint="eastAsia" w:ascii="宋体" w:hAnsi="宋体" w:cs="宋体"/>
                <w:color w:val="auto"/>
                <w:sz w:val="24"/>
              </w:rPr>
            </w:pPr>
          </w:p>
          <w:p w14:paraId="274561C8">
            <w:pPr>
              <w:rPr>
                <w:rFonts w:hint="eastAsia" w:ascii="宋体" w:hAnsi="宋体" w:cs="宋体"/>
                <w:color w:val="auto"/>
                <w:sz w:val="24"/>
              </w:rPr>
            </w:pPr>
            <w:r>
              <w:rPr>
                <w:rFonts w:hint="eastAsia" w:ascii="宋体" w:hAnsi="宋体" w:cs="宋体"/>
                <w:color w:val="auto"/>
                <w:sz w:val="24"/>
              </w:rPr>
              <w:t>小写：</w:t>
            </w:r>
          </w:p>
        </w:tc>
      </w:tr>
      <w:tr w14:paraId="7DAEC546">
        <w:tblPrEx>
          <w:tblCellMar>
            <w:top w:w="0" w:type="dxa"/>
            <w:left w:w="0" w:type="dxa"/>
            <w:bottom w:w="0" w:type="dxa"/>
            <w:right w:w="0" w:type="dxa"/>
          </w:tblCellMar>
        </w:tblPrEx>
        <w:trPr>
          <w:trHeight w:val="737" w:hRule="exact"/>
        </w:trPr>
        <w:tc>
          <w:tcPr>
            <w:tcW w:w="2065" w:type="dxa"/>
            <w:tcBorders>
              <w:top w:val="single" w:color="000000" w:sz="4" w:space="0"/>
              <w:left w:val="single" w:color="000000" w:sz="4" w:space="0"/>
              <w:bottom w:val="single" w:color="000000" w:sz="4" w:space="0"/>
              <w:right w:val="single" w:color="000000" w:sz="4" w:space="0"/>
            </w:tcBorders>
            <w:noWrap w:val="0"/>
            <w:vAlign w:val="center"/>
          </w:tcPr>
          <w:p w14:paraId="5E0BF66E">
            <w:pPr>
              <w:pStyle w:val="34"/>
              <w:spacing w:before="136"/>
              <w:jc w:val="center"/>
              <w:rPr>
                <w:rFonts w:hint="eastAsia" w:ascii="宋体" w:hAnsi="宋体" w:cs="宋体"/>
                <w:color w:val="auto"/>
                <w:sz w:val="24"/>
              </w:rPr>
            </w:pPr>
            <w:r>
              <w:rPr>
                <w:rFonts w:hint="eastAsia" w:ascii="宋体" w:hAnsi="宋体" w:cs="宋体"/>
                <w:color w:val="auto"/>
                <w:sz w:val="24"/>
              </w:rPr>
              <w:t>项目负责人</w:t>
            </w:r>
          </w:p>
        </w:tc>
        <w:tc>
          <w:tcPr>
            <w:tcW w:w="2783" w:type="dxa"/>
            <w:tcBorders>
              <w:top w:val="single" w:color="000000" w:sz="4" w:space="0"/>
              <w:left w:val="single" w:color="000000" w:sz="4" w:space="0"/>
              <w:bottom w:val="single" w:color="000000" w:sz="4" w:space="0"/>
              <w:right w:val="single" w:color="000000" w:sz="4" w:space="0"/>
            </w:tcBorders>
            <w:noWrap w:val="0"/>
            <w:vAlign w:val="top"/>
          </w:tcPr>
          <w:p w14:paraId="7BAAA979">
            <w:pPr>
              <w:rPr>
                <w:rFonts w:hint="eastAsia" w:ascii="宋体" w:hAnsi="宋体" w:cs="宋体"/>
                <w:color w:val="auto"/>
                <w:sz w:val="24"/>
              </w:rPr>
            </w:pP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20759E31">
            <w:pPr>
              <w:pStyle w:val="34"/>
              <w:spacing w:before="136"/>
              <w:ind w:left="626"/>
              <w:rPr>
                <w:rFonts w:hint="eastAsia" w:ascii="宋体" w:hAnsi="宋体" w:cs="宋体"/>
                <w:color w:val="auto"/>
                <w:sz w:val="24"/>
              </w:rPr>
            </w:pPr>
            <w:r>
              <w:rPr>
                <w:rFonts w:hint="eastAsia" w:ascii="宋体" w:hAnsi="宋体" w:cs="宋体"/>
                <w:color w:val="auto"/>
                <w:sz w:val="24"/>
              </w:rPr>
              <w:t>联系电话</w:t>
            </w:r>
          </w:p>
        </w:tc>
        <w:tc>
          <w:tcPr>
            <w:tcW w:w="2220" w:type="dxa"/>
            <w:tcBorders>
              <w:top w:val="single" w:color="000000" w:sz="4" w:space="0"/>
              <w:left w:val="single" w:color="000000" w:sz="4" w:space="0"/>
              <w:bottom w:val="single" w:color="000000" w:sz="4" w:space="0"/>
              <w:right w:val="single" w:color="000000" w:sz="4" w:space="0"/>
            </w:tcBorders>
            <w:noWrap w:val="0"/>
            <w:vAlign w:val="top"/>
          </w:tcPr>
          <w:p w14:paraId="41CF1072">
            <w:pPr>
              <w:rPr>
                <w:rFonts w:hint="eastAsia" w:ascii="宋体" w:hAnsi="宋体" w:cs="宋体"/>
                <w:color w:val="auto"/>
                <w:sz w:val="24"/>
              </w:rPr>
            </w:pPr>
          </w:p>
        </w:tc>
      </w:tr>
      <w:tr w14:paraId="6CC49163">
        <w:tblPrEx>
          <w:tblCellMar>
            <w:top w:w="0" w:type="dxa"/>
            <w:left w:w="0" w:type="dxa"/>
            <w:bottom w:w="0" w:type="dxa"/>
            <w:right w:w="0" w:type="dxa"/>
          </w:tblCellMar>
        </w:tblPrEx>
        <w:trPr>
          <w:trHeight w:val="797" w:hRule="exact"/>
        </w:trPr>
        <w:tc>
          <w:tcPr>
            <w:tcW w:w="2065" w:type="dxa"/>
            <w:tcBorders>
              <w:top w:val="single" w:color="000000" w:sz="4" w:space="0"/>
              <w:left w:val="single" w:color="000000" w:sz="4" w:space="0"/>
              <w:bottom w:val="single" w:color="000000" w:sz="4" w:space="0"/>
              <w:right w:val="single" w:color="000000" w:sz="4" w:space="0"/>
            </w:tcBorders>
            <w:noWrap w:val="0"/>
            <w:vAlign w:val="center"/>
          </w:tcPr>
          <w:p w14:paraId="22F7687C">
            <w:pPr>
              <w:pStyle w:val="34"/>
              <w:spacing w:before="136"/>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供货期</w:t>
            </w:r>
          </w:p>
        </w:tc>
        <w:tc>
          <w:tcPr>
            <w:tcW w:w="7223" w:type="dxa"/>
            <w:gridSpan w:val="3"/>
            <w:tcBorders>
              <w:top w:val="single" w:color="000000" w:sz="4" w:space="0"/>
              <w:left w:val="single" w:color="000000" w:sz="4" w:space="0"/>
              <w:bottom w:val="single" w:color="000000" w:sz="4" w:space="0"/>
              <w:right w:val="single" w:color="000000" w:sz="4" w:space="0"/>
            </w:tcBorders>
            <w:noWrap w:val="0"/>
            <w:vAlign w:val="top"/>
          </w:tcPr>
          <w:p w14:paraId="7C9E4F67">
            <w:pPr>
              <w:pStyle w:val="34"/>
              <w:spacing w:before="136"/>
              <w:ind w:left="710"/>
              <w:rPr>
                <w:rFonts w:hint="eastAsia" w:ascii="宋体" w:hAnsi="宋体" w:cs="宋体"/>
                <w:color w:val="auto"/>
                <w:sz w:val="24"/>
              </w:rPr>
            </w:pPr>
          </w:p>
        </w:tc>
      </w:tr>
      <w:tr w14:paraId="651BCF2B">
        <w:tblPrEx>
          <w:tblCellMar>
            <w:top w:w="0" w:type="dxa"/>
            <w:left w:w="0" w:type="dxa"/>
            <w:bottom w:w="0" w:type="dxa"/>
            <w:right w:w="0" w:type="dxa"/>
          </w:tblCellMar>
        </w:tblPrEx>
        <w:trPr>
          <w:trHeight w:val="827" w:hRule="exact"/>
        </w:trPr>
        <w:tc>
          <w:tcPr>
            <w:tcW w:w="2065" w:type="dxa"/>
            <w:tcBorders>
              <w:top w:val="single" w:color="000000" w:sz="4" w:space="0"/>
              <w:left w:val="single" w:color="000000" w:sz="4" w:space="0"/>
              <w:bottom w:val="single" w:color="000000" w:sz="4" w:space="0"/>
              <w:right w:val="single" w:color="000000" w:sz="4" w:space="0"/>
            </w:tcBorders>
            <w:noWrap w:val="0"/>
            <w:vAlign w:val="center"/>
          </w:tcPr>
          <w:p w14:paraId="073EEC39">
            <w:pPr>
              <w:pStyle w:val="34"/>
              <w:spacing w:before="136"/>
              <w:jc w:val="center"/>
              <w:rPr>
                <w:rFonts w:hint="eastAsia" w:ascii="宋体" w:hAnsi="宋体" w:cs="宋体"/>
                <w:color w:val="auto"/>
                <w:sz w:val="24"/>
              </w:rPr>
            </w:pPr>
            <w:r>
              <w:rPr>
                <w:rFonts w:hint="eastAsia" w:ascii="宋体" w:hAnsi="宋体" w:cs="宋体"/>
                <w:color w:val="auto"/>
                <w:sz w:val="24"/>
                <w:lang w:val="en-US" w:eastAsia="zh-CN"/>
              </w:rPr>
              <w:t>供货</w:t>
            </w:r>
            <w:r>
              <w:rPr>
                <w:rFonts w:hint="eastAsia" w:ascii="宋体" w:hAnsi="宋体" w:cs="宋体"/>
                <w:color w:val="auto"/>
                <w:sz w:val="24"/>
              </w:rPr>
              <w:t>地点</w:t>
            </w:r>
          </w:p>
        </w:tc>
        <w:tc>
          <w:tcPr>
            <w:tcW w:w="7223" w:type="dxa"/>
            <w:gridSpan w:val="3"/>
            <w:tcBorders>
              <w:top w:val="single" w:color="000000" w:sz="4" w:space="0"/>
              <w:left w:val="single" w:color="000000" w:sz="4" w:space="0"/>
              <w:bottom w:val="single" w:color="000000" w:sz="4" w:space="0"/>
              <w:right w:val="single" w:color="000000" w:sz="4" w:space="0"/>
            </w:tcBorders>
            <w:noWrap w:val="0"/>
            <w:vAlign w:val="top"/>
          </w:tcPr>
          <w:p w14:paraId="72985FC9">
            <w:pPr>
              <w:pStyle w:val="34"/>
              <w:spacing w:before="136"/>
              <w:ind w:left="710"/>
              <w:rPr>
                <w:rFonts w:hint="eastAsia" w:ascii="宋体" w:hAnsi="宋体" w:cs="宋体"/>
                <w:color w:val="auto"/>
                <w:sz w:val="24"/>
              </w:rPr>
            </w:pPr>
          </w:p>
        </w:tc>
      </w:tr>
      <w:tr w14:paraId="6D3DE21D">
        <w:tblPrEx>
          <w:tblCellMar>
            <w:top w:w="0" w:type="dxa"/>
            <w:left w:w="0" w:type="dxa"/>
            <w:bottom w:w="0" w:type="dxa"/>
            <w:right w:w="0" w:type="dxa"/>
          </w:tblCellMar>
        </w:tblPrEx>
        <w:trPr>
          <w:trHeight w:val="957" w:hRule="exact"/>
        </w:trPr>
        <w:tc>
          <w:tcPr>
            <w:tcW w:w="2065" w:type="dxa"/>
            <w:tcBorders>
              <w:top w:val="single" w:color="000000" w:sz="4" w:space="0"/>
              <w:left w:val="single" w:color="000000" w:sz="4" w:space="0"/>
              <w:bottom w:val="single" w:color="000000" w:sz="4" w:space="0"/>
              <w:right w:val="single" w:color="000000" w:sz="4" w:space="0"/>
            </w:tcBorders>
            <w:noWrap w:val="0"/>
            <w:vAlign w:val="center"/>
          </w:tcPr>
          <w:p w14:paraId="025C1B8A">
            <w:pPr>
              <w:pStyle w:val="34"/>
              <w:spacing w:before="136"/>
              <w:jc w:val="center"/>
              <w:rPr>
                <w:rFonts w:hint="eastAsia" w:ascii="宋体" w:hAnsi="宋体" w:cs="宋体"/>
                <w:color w:val="auto"/>
                <w:sz w:val="24"/>
              </w:rPr>
            </w:pPr>
            <w:r>
              <w:rPr>
                <w:rFonts w:hint="eastAsia" w:ascii="宋体" w:hAnsi="宋体" w:cs="宋体"/>
                <w:color w:val="auto"/>
                <w:sz w:val="24"/>
              </w:rPr>
              <w:t>质量要求</w:t>
            </w:r>
          </w:p>
        </w:tc>
        <w:tc>
          <w:tcPr>
            <w:tcW w:w="7223" w:type="dxa"/>
            <w:gridSpan w:val="3"/>
            <w:tcBorders>
              <w:top w:val="single" w:color="000000" w:sz="4" w:space="0"/>
              <w:left w:val="single" w:color="000000" w:sz="4" w:space="0"/>
              <w:bottom w:val="single" w:color="000000" w:sz="4" w:space="0"/>
              <w:right w:val="single" w:color="000000" w:sz="4" w:space="0"/>
            </w:tcBorders>
            <w:noWrap w:val="0"/>
            <w:vAlign w:val="top"/>
          </w:tcPr>
          <w:p w14:paraId="5B3C116E">
            <w:pPr>
              <w:pStyle w:val="34"/>
              <w:spacing w:before="136"/>
              <w:ind w:left="710"/>
              <w:rPr>
                <w:rFonts w:hint="eastAsia" w:ascii="宋体" w:hAnsi="宋体" w:cs="宋体"/>
                <w:color w:val="auto"/>
                <w:sz w:val="24"/>
              </w:rPr>
            </w:pPr>
          </w:p>
        </w:tc>
      </w:tr>
      <w:tr w14:paraId="5C72E506">
        <w:tblPrEx>
          <w:tblCellMar>
            <w:top w:w="0" w:type="dxa"/>
            <w:left w:w="0" w:type="dxa"/>
            <w:bottom w:w="0" w:type="dxa"/>
            <w:right w:w="0" w:type="dxa"/>
          </w:tblCellMar>
        </w:tblPrEx>
        <w:trPr>
          <w:trHeight w:val="2432" w:hRule="exact"/>
        </w:trPr>
        <w:tc>
          <w:tcPr>
            <w:tcW w:w="2065" w:type="dxa"/>
            <w:tcBorders>
              <w:top w:val="single" w:color="000000" w:sz="4" w:space="0"/>
              <w:left w:val="single" w:color="000000" w:sz="4" w:space="0"/>
              <w:bottom w:val="single" w:color="000000" w:sz="4" w:space="0"/>
              <w:right w:val="single" w:color="000000" w:sz="4" w:space="0"/>
            </w:tcBorders>
            <w:noWrap w:val="0"/>
            <w:vAlign w:val="center"/>
          </w:tcPr>
          <w:p w14:paraId="3217B400">
            <w:pPr>
              <w:pStyle w:val="34"/>
              <w:spacing w:line="338" w:lineRule="auto"/>
              <w:ind w:left="530" w:right="286" w:hanging="240"/>
              <w:jc w:val="center"/>
              <w:rPr>
                <w:rFonts w:hint="eastAsia" w:ascii="宋体" w:hAnsi="宋体" w:cs="宋体"/>
                <w:color w:val="auto"/>
                <w:sz w:val="24"/>
              </w:rPr>
            </w:pPr>
            <w:r>
              <w:rPr>
                <w:rFonts w:hint="eastAsia" w:ascii="宋体" w:hAnsi="宋体" w:cs="宋体"/>
                <w:color w:val="auto"/>
                <w:sz w:val="24"/>
              </w:rPr>
              <w:t>其它优惠条件</w:t>
            </w:r>
          </w:p>
        </w:tc>
        <w:tc>
          <w:tcPr>
            <w:tcW w:w="7223" w:type="dxa"/>
            <w:gridSpan w:val="3"/>
            <w:tcBorders>
              <w:top w:val="single" w:color="000000" w:sz="4" w:space="0"/>
              <w:left w:val="single" w:color="000000" w:sz="4" w:space="0"/>
              <w:bottom w:val="single" w:color="000000" w:sz="4" w:space="0"/>
              <w:right w:val="single" w:color="000000" w:sz="4" w:space="0"/>
            </w:tcBorders>
            <w:noWrap w:val="0"/>
            <w:vAlign w:val="top"/>
          </w:tcPr>
          <w:p w14:paraId="6C5D76BD">
            <w:pPr>
              <w:rPr>
                <w:rFonts w:hint="eastAsia" w:ascii="宋体" w:hAnsi="宋体" w:cs="宋体"/>
                <w:color w:val="auto"/>
                <w:sz w:val="24"/>
              </w:rPr>
            </w:pPr>
          </w:p>
        </w:tc>
      </w:tr>
    </w:tbl>
    <w:p w14:paraId="04269249">
      <w:pPr>
        <w:pStyle w:val="12"/>
        <w:spacing w:line="480" w:lineRule="exact"/>
        <w:rPr>
          <w:rFonts w:hint="eastAsia" w:cs="宋体"/>
          <w:color w:val="auto"/>
        </w:rPr>
      </w:pPr>
      <w:r>
        <w:rPr>
          <w:rFonts w:hint="eastAsia" w:cs="宋体"/>
          <w:color w:val="auto"/>
        </w:rPr>
        <w:t xml:space="preserve">供应商（盖单位章）： </w:t>
      </w:r>
    </w:p>
    <w:p w14:paraId="3C71FB6D">
      <w:pPr>
        <w:pStyle w:val="12"/>
        <w:spacing w:line="480" w:lineRule="exact"/>
        <w:rPr>
          <w:rFonts w:hint="eastAsia" w:cs="宋体"/>
          <w:color w:val="auto"/>
        </w:rPr>
      </w:pPr>
      <w:r>
        <w:rPr>
          <w:rFonts w:hint="eastAsia" w:cs="宋体"/>
          <w:color w:val="auto"/>
        </w:rPr>
        <w:t xml:space="preserve">法定代表人（盖章）： </w:t>
      </w:r>
    </w:p>
    <w:p w14:paraId="24DCD204">
      <w:pPr>
        <w:spacing w:line="480" w:lineRule="exact"/>
        <w:rPr>
          <w:rFonts w:hint="eastAsia" w:ascii="宋体" w:hAnsi="宋体" w:cs="宋体"/>
          <w:color w:val="auto"/>
          <w:sz w:val="24"/>
        </w:rPr>
      </w:pPr>
      <w:r>
        <w:rPr>
          <w:rFonts w:hint="eastAsia" w:ascii="宋体" w:hAnsi="宋体" w:cs="宋体"/>
          <w:color w:val="auto"/>
          <w:sz w:val="24"/>
        </w:rPr>
        <w:t>日期：年   月   日</w:t>
      </w:r>
    </w:p>
    <w:p w14:paraId="50B20963">
      <w:pPr>
        <w:jc w:val="center"/>
        <w:rPr>
          <w:rFonts w:hint="eastAsia" w:ascii="宋体" w:hAnsi="宋体" w:cs="宋体"/>
          <w:b/>
          <w:bCs/>
          <w:color w:val="auto"/>
          <w:sz w:val="24"/>
          <w:szCs w:val="32"/>
        </w:rPr>
      </w:pPr>
      <w:r>
        <w:rPr>
          <w:rFonts w:hint="eastAsia" w:ascii="宋体" w:hAnsi="宋体" w:cs="宋体"/>
          <w:color w:val="auto"/>
          <w:sz w:val="24"/>
        </w:rPr>
        <w:br w:type="page"/>
      </w:r>
      <w:r>
        <w:rPr>
          <w:rFonts w:hint="eastAsia" w:ascii="宋体" w:hAnsi="宋体" w:cs="宋体"/>
          <w:b/>
          <w:bCs/>
          <w:color w:val="auto"/>
          <w:sz w:val="24"/>
        </w:rPr>
        <w:t>2.</w:t>
      </w:r>
      <w:r>
        <w:rPr>
          <w:rFonts w:hint="eastAsia" w:ascii="宋体" w:hAnsi="宋体" w:cs="宋体"/>
          <w:b/>
          <w:bCs/>
          <w:color w:val="auto"/>
          <w:sz w:val="24"/>
          <w:szCs w:val="32"/>
        </w:rPr>
        <w:t>报价明细表</w:t>
      </w:r>
    </w:p>
    <w:p w14:paraId="3D283DB8">
      <w:pPr>
        <w:pStyle w:val="4"/>
        <w:rPr>
          <w:rFonts w:hint="eastAsia"/>
          <w:color w:val="auto"/>
        </w:rPr>
      </w:pPr>
    </w:p>
    <w:tbl>
      <w:tblPr>
        <w:tblStyle w:val="17"/>
        <w:tblW w:w="0" w:type="auto"/>
        <w:jc w:val="center"/>
        <w:tblLayout w:type="fixed"/>
        <w:tblCellMar>
          <w:top w:w="0" w:type="dxa"/>
          <w:left w:w="108" w:type="dxa"/>
          <w:bottom w:w="0" w:type="dxa"/>
          <w:right w:w="108" w:type="dxa"/>
        </w:tblCellMar>
      </w:tblPr>
      <w:tblGrid>
        <w:gridCol w:w="907"/>
        <w:gridCol w:w="1485"/>
        <w:gridCol w:w="1665"/>
        <w:gridCol w:w="1399"/>
        <w:gridCol w:w="906"/>
        <w:gridCol w:w="947"/>
        <w:gridCol w:w="947"/>
        <w:gridCol w:w="947"/>
        <w:gridCol w:w="1042"/>
      </w:tblGrid>
      <w:tr w14:paraId="4A0BA601">
        <w:tblPrEx>
          <w:tblCellMar>
            <w:top w:w="0" w:type="dxa"/>
            <w:left w:w="108" w:type="dxa"/>
            <w:bottom w:w="0" w:type="dxa"/>
            <w:right w:w="108" w:type="dxa"/>
          </w:tblCellMar>
        </w:tblPrEx>
        <w:trPr>
          <w:trHeight w:val="1348" w:hRule="atLeast"/>
          <w:jc w:val="center"/>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5AA8C131">
            <w:pPr>
              <w:widowControl/>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rPr>
              <w:t>序号</w:t>
            </w:r>
          </w:p>
        </w:tc>
        <w:tc>
          <w:tcPr>
            <w:tcW w:w="1485" w:type="dxa"/>
            <w:tcBorders>
              <w:top w:val="single" w:color="000000" w:sz="4" w:space="0"/>
              <w:left w:val="nil"/>
              <w:bottom w:val="single" w:color="000000" w:sz="4" w:space="0"/>
              <w:right w:val="single" w:color="000000" w:sz="4" w:space="0"/>
            </w:tcBorders>
            <w:noWrap w:val="0"/>
            <w:vAlign w:val="center"/>
          </w:tcPr>
          <w:p w14:paraId="21474FEB">
            <w:pPr>
              <w:widowControl/>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rPr>
              <w:t>名称</w:t>
            </w:r>
          </w:p>
        </w:tc>
        <w:tc>
          <w:tcPr>
            <w:tcW w:w="1665" w:type="dxa"/>
            <w:tcBorders>
              <w:top w:val="single" w:color="000000" w:sz="4" w:space="0"/>
              <w:left w:val="nil"/>
              <w:bottom w:val="single" w:color="000000" w:sz="4" w:space="0"/>
              <w:right w:val="single" w:color="auto" w:sz="4" w:space="0"/>
            </w:tcBorders>
            <w:noWrap w:val="0"/>
            <w:vAlign w:val="center"/>
          </w:tcPr>
          <w:p w14:paraId="1C30DAAD">
            <w:pPr>
              <w:widowControl/>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lang w:bidi="ar"/>
              </w:rPr>
              <w:t>品牌</w:t>
            </w:r>
          </w:p>
        </w:tc>
        <w:tc>
          <w:tcPr>
            <w:tcW w:w="1399" w:type="dxa"/>
            <w:tcBorders>
              <w:top w:val="single" w:color="000000" w:sz="4" w:space="0"/>
              <w:left w:val="single" w:color="auto" w:sz="4" w:space="0"/>
              <w:bottom w:val="single" w:color="000000" w:sz="4" w:space="0"/>
              <w:right w:val="single" w:color="000000" w:sz="4" w:space="0"/>
            </w:tcBorders>
            <w:noWrap w:val="0"/>
            <w:vAlign w:val="center"/>
          </w:tcPr>
          <w:p w14:paraId="4612A9D1">
            <w:pPr>
              <w:widowControl/>
              <w:jc w:val="center"/>
              <w:textAlignment w:val="center"/>
              <w:rPr>
                <w:rFonts w:hint="eastAsia" w:ascii="宋体" w:hAnsi="宋体" w:cs="宋体"/>
                <w:color w:val="auto"/>
                <w:kern w:val="0"/>
                <w:sz w:val="24"/>
              </w:rPr>
            </w:pPr>
            <w:r>
              <w:rPr>
                <w:rFonts w:hint="eastAsia" w:ascii="宋体" w:hAnsi="宋体" w:cs="宋体"/>
                <w:color w:val="auto"/>
                <w:kern w:val="0"/>
                <w:sz w:val="24"/>
                <w:lang w:bidi="ar"/>
              </w:rPr>
              <w:t>技术参数</w:t>
            </w:r>
          </w:p>
        </w:tc>
        <w:tc>
          <w:tcPr>
            <w:tcW w:w="906" w:type="dxa"/>
            <w:tcBorders>
              <w:top w:val="single" w:color="000000" w:sz="4" w:space="0"/>
              <w:left w:val="single" w:color="auto" w:sz="4" w:space="0"/>
              <w:bottom w:val="single" w:color="000000" w:sz="4" w:space="0"/>
              <w:right w:val="single" w:color="000000" w:sz="4" w:space="0"/>
            </w:tcBorders>
            <w:noWrap w:val="0"/>
            <w:vAlign w:val="center"/>
          </w:tcPr>
          <w:p w14:paraId="29043531">
            <w:pPr>
              <w:widowControl/>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rPr>
              <w:t>单位</w:t>
            </w:r>
          </w:p>
        </w:tc>
        <w:tc>
          <w:tcPr>
            <w:tcW w:w="947" w:type="dxa"/>
            <w:tcBorders>
              <w:top w:val="single" w:color="000000" w:sz="4" w:space="0"/>
              <w:left w:val="nil"/>
              <w:bottom w:val="single" w:color="000000" w:sz="4" w:space="0"/>
              <w:right w:val="single" w:color="000000" w:sz="4" w:space="0"/>
            </w:tcBorders>
            <w:noWrap w:val="0"/>
            <w:vAlign w:val="center"/>
          </w:tcPr>
          <w:p w14:paraId="680BFEE6">
            <w:pPr>
              <w:widowControl/>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rPr>
              <w:t>数量</w:t>
            </w:r>
          </w:p>
        </w:tc>
        <w:tc>
          <w:tcPr>
            <w:tcW w:w="947" w:type="dxa"/>
            <w:tcBorders>
              <w:top w:val="single" w:color="000000" w:sz="4" w:space="0"/>
              <w:left w:val="nil"/>
              <w:bottom w:val="single" w:color="000000" w:sz="4" w:space="0"/>
              <w:right w:val="single" w:color="000000" w:sz="4" w:space="0"/>
            </w:tcBorders>
            <w:noWrap w:val="0"/>
            <w:vAlign w:val="center"/>
          </w:tcPr>
          <w:p w14:paraId="59EF901E">
            <w:pPr>
              <w:widowControl/>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rPr>
              <w:t>单价</w:t>
            </w:r>
          </w:p>
        </w:tc>
        <w:tc>
          <w:tcPr>
            <w:tcW w:w="947" w:type="dxa"/>
            <w:tcBorders>
              <w:top w:val="single" w:color="000000" w:sz="4" w:space="0"/>
              <w:left w:val="nil"/>
              <w:bottom w:val="single" w:color="000000" w:sz="4" w:space="0"/>
              <w:right w:val="single" w:color="000000" w:sz="4" w:space="0"/>
            </w:tcBorders>
            <w:noWrap w:val="0"/>
            <w:vAlign w:val="center"/>
          </w:tcPr>
          <w:p w14:paraId="2DF5D47A">
            <w:pPr>
              <w:widowControl/>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rPr>
              <w:t>小计</w:t>
            </w:r>
          </w:p>
        </w:tc>
        <w:tc>
          <w:tcPr>
            <w:tcW w:w="1042" w:type="dxa"/>
            <w:tcBorders>
              <w:top w:val="single" w:color="000000" w:sz="4" w:space="0"/>
              <w:left w:val="nil"/>
              <w:bottom w:val="single" w:color="000000" w:sz="4" w:space="0"/>
              <w:right w:val="single" w:color="000000" w:sz="4" w:space="0"/>
            </w:tcBorders>
            <w:noWrap w:val="0"/>
            <w:vAlign w:val="center"/>
          </w:tcPr>
          <w:p w14:paraId="0AC0F2C6">
            <w:pPr>
              <w:widowControl/>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rPr>
              <w:t>备注</w:t>
            </w:r>
          </w:p>
        </w:tc>
      </w:tr>
      <w:tr w14:paraId="2BF51D21">
        <w:tblPrEx>
          <w:tblCellMar>
            <w:top w:w="0" w:type="dxa"/>
            <w:left w:w="108" w:type="dxa"/>
            <w:bottom w:w="0" w:type="dxa"/>
            <w:right w:w="108" w:type="dxa"/>
          </w:tblCellMar>
        </w:tblPrEx>
        <w:trPr>
          <w:trHeight w:val="785" w:hRule="atLeast"/>
          <w:jc w:val="center"/>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73AC3FA3">
            <w:pPr>
              <w:widowControl/>
              <w:spacing w:line="50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1485" w:type="dxa"/>
            <w:tcBorders>
              <w:top w:val="single" w:color="000000" w:sz="4" w:space="0"/>
              <w:left w:val="nil"/>
              <w:bottom w:val="single" w:color="000000" w:sz="4" w:space="0"/>
              <w:right w:val="single" w:color="000000" w:sz="4" w:space="0"/>
            </w:tcBorders>
            <w:noWrap w:val="0"/>
            <w:vAlign w:val="center"/>
          </w:tcPr>
          <w:p w14:paraId="2F47E2F0">
            <w:pPr>
              <w:widowControl/>
              <w:spacing w:line="500" w:lineRule="exact"/>
              <w:jc w:val="left"/>
              <w:rPr>
                <w:rFonts w:hint="eastAsia" w:ascii="宋体" w:hAnsi="宋体" w:cs="宋体"/>
                <w:color w:val="auto"/>
                <w:kern w:val="0"/>
                <w:sz w:val="24"/>
              </w:rPr>
            </w:pPr>
          </w:p>
        </w:tc>
        <w:tc>
          <w:tcPr>
            <w:tcW w:w="1665" w:type="dxa"/>
            <w:tcBorders>
              <w:top w:val="single" w:color="000000" w:sz="4" w:space="0"/>
              <w:left w:val="nil"/>
              <w:bottom w:val="single" w:color="000000" w:sz="4" w:space="0"/>
              <w:right w:val="single" w:color="auto" w:sz="4" w:space="0"/>
            </w:tcBorders>
            <w:noWrap w:val="0"/>
            <w:vAlign w:val="center"/>
          </w:tcPr>
          <w:p w14:paraId="388E67DD">
            <w:pPr>
              <w:widowControl/>
              <w:spacing w:line="500" w:lineRule="exact"/>
              <w:jc w:val="left"/>
              <w:rPr>
                <w:rFonts w:hint="eastAsia" w:ascii="宋体" w:hAnsi="宋体" w:cs="宋体"/>
                <w:color w:val="auto"/>
                <w:kern w:val="0"/>
                <w:sz w:val="24"/>
              </w:rPr>
            </w:pPr>
          </w:p>
        </w:tc>
        <w:tc>
          <w:tcPr>
            <w:tcW w:w="1399" w:type="dxa"/>
            <w:tcBorders>
              <w:top w:val="single" w:color="000000" w:sz="4" w:space="0"/>
              <w:left w:val="single" w:color="auto" w:sz="4" w:space="0"/>
              <w:bottom w:val="single" w:color="000000" w:sz="4" w:space="0"/>
              <w:right w:val="single" w:color="000000" w:sz="4" w:space="0"/>
            </w:tcBorders>
            <w:noWrap w:val="0"/>
            <w:vAlign w:val="center"/>
          </w:tcPr>
          <w:p w14:paraId="68CB3805">
            <w:pPr>
              <w:widowControl/>
              <w:spacing w:line="500" w:lineRule="exact"/>
              <w:jc w:val="left"/>
              <w:rPr>
                <w:rFonts w:hint="eastAsia" w:ascii="宋体" w:hAnsi="宋体" w:cs="宋体"/>
                <w:color w:val="auto"/>
                <w:kern w:val="0"/>
                <w:sz w:val="24"/>
              </w:rPr>
            </w:pPr>
          </w:p>
        </w:tc>
        <w:tc>
          <w:tcPr>
            <w:tcW w:w="906" w:type="dxa"/>
            <w:tcBorders>
              <w:top w:val="single" w:color="000000" w:sz="4" w:space="0"/>
              <w:left w:val="single" w:color="auto" w:sz="4" w:space="0"/>
              <w:bottom w:val="single" w:color="000000" w:sz="4" w:space="0"/>
              <w:right w:val="single" w:color="000000" w:sz="4" w:space="0"/>
            </w:tcBorders>
            <w:noWrap w:val="0"/>
            <w:vAlign w:val="center"/>
          </w:tcPr>
          <w:p w14:paraId="24D2E89E">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115501D5">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402A5FEC">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32981301">
            <w:pPr>
              <w:widowControl/>
              <w:spacing w:line="500" w:lineRule="exact"/>
              <w:jc w:val="left"/>
              <w:rPr>
                <w:rFonts w:hint="eastAsia" w:ascii="宋体" w:hAnsi="宋体" w:cs="宋体"/>
                <w:color w:val="auto"/>
                <w:kern w:val="0"/>
                <w:sz w:val="24"/>
              </w:rPr>
            </w:pPr>
          </w:p>
        </w:tc>
        <w:tc>
          <w:tcPr>
            <w:tcW w:w="1042" w:type="dxa"/>
            <w:tcBorders>
              <w:top w:val="single" w:color="000000" w:sz="4" w:space="0"/>
              <w:left w:val="nil"/>
              <w:bottom w:val="single" w:color="000000" w:sz="4" w:space="0"/>
              <w:right w:val="single" w:color="000000" w:sz="4" w:space="0"/>
            </w:tcBorders>
            <w:noWrap w:val="0"/>
            <w:vAlign w:val="center"/>
          </w:tcPr>
          <w:p w14:paraId="79E4BEA0">
            <w:pPr>
              <w:widowControl/>
              <w:spacing w:line="500" w:lineRule="exact"/>
              <w:jc w:val="left"/>
              <w:rPr>
                <w:rFonts w:hint="eastAsia" w:ascii="宋体" w:hAnsi="宋体" w:cs="宋体"/>
                <w:color w:val="auto"/>
                <w:kern w:val="0"/>
                <w:sz w:val="24"/>
              </w:rPr>
            </w:pPr>
          </w:p>
        </w:tc>
      </w:tr>
      <w:tr w14:paraId="5B659937">
        <w:tblPrEx>
          <w:tblCellMar>
            <w:top w:w="0" w:type="dxa"/>
            <w:left w:w="108" w:type="dxa"/>
            <w:bottom w:w="0" w:type="dxa"/>
            <w:right w:w="108" w:type="dxa"/>
          </w:tblCellMar>
        </w:tblPrEx>
        <w:trPr>
          <w:trHeight w:val="785" w:hRule="atLeast"/>
          <w:jc w:val="center"/>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41F67643">
            <w:pPr>
              <w:widowControl/>
              <w:spacing w:line="500" w:lineRule="exact"/>
              <w:jc w:val="center"/>
              <w:rPr>
                <w:rFonts w:hint="eastAsia" w:ascii="宋体" w:hAnsi="宋体" w:cs="宋体"/>
                <w:color w:val="auto"/>
                <w:kern w:val="0"/>
                <w:sz w:val="24"/>
              </w:rPr>
            </w:pPr>
            <w:r>
              <w:rPr>
                <w:rFonts w:hint="eastAsia" w:ascii="宋体" w:hAnsi="宋体" w:cs="宋体"/>
                <w:color w:val="auto"/>
                <w:kern w:val="0"/>
                <w:sz w:val="24"/>
              </w:rPr>
              <w:t>2</w:t>
            </w:r>
          </w:p>
        </w:tc>
        <w:tc>
          <w:tcPr>
            <w:tcW w:w="1485" w:type="dxa"/>
            <w:tcBorders>
              <w:top w:val="single" w:color="000000" w:sz="4" w:space="0"/>
              <w:left w:val="nil"/>
              <w:bottom w:val="single" w:color="000000" w:sz="4" w:space="0"/>
              <w:right w:val="single" w:color="000000" w:sz="4" w:space="0"/>
            </w:tcBorders>
            <w:noWrap w:val="0"/>
            <w:vAlign w:val="center"/>
          </w:tcPr>
          <w:p w14:paraId="586B9979">
            <w:pPr>
              <w:widowControl/>
              <w:spacing w:line="500" w:lineRule="exact"/>
              <w:jc w:val="left"/>
              <w:rPr>
                <w:rFonts w:hint="eastAsia" w:ascii="宋体" w:hAnsi="宋体" w:cs="宋体"/>
                <w:color w:val="auto"/>
                <w:kern w:val="0"/>
                <w:sz w:val="24"/>
              </w:rPr>
            </w:pPr>
          </w:p>
        </w:tc>
        <w:tc>
          <w:tcPr>
            <w:tcW w:w="1665" w:type="dxa"/>
            <w:tcBorders>
              <w:top w:val="single" w:color="000000" w:sz="4" w:space="0"/>
              <w:left w:val="nil"/>
              <w:bottom w:val="single" w:color="000000" w:sz="4" w:space="0"/>
              <w:right w:val="single" w:color="auto" w:sz="4" w:space="0"/>
            </w:tcBorders>
            <w:noWrap w:val="0"/>
            <w:vAlign w:val="center"/>
          </w:tcPr>
          <w:p w14:paraId="33D02B27">
            <w:pPr>
              <w:widowControl/>
              <w:spacing w:line="500" w:lineRule="exact"/>
              <w:jc w:val="left"/>
              <w:rPr>
                <w:rFonts w:hint="eastAsia" w:ascii="宋体" w:hAnsi="宋体" w:cs="宋体"/>
                <w:color w:val="auto"/>
                <w:kern w:val="0"/>
                <w:sz w:val="24"/>
              </w:rPr>
            </w:pPr>
          </w:p>
        </w:tc>
        <w:tc>
          <w:tcPr>
            <w:tcW w:w="1399" w:type="dxa"/>
            <w:tcBorders>
              <w:top w:val="single" w:color="000000" w:sz="4" w:space="0"/>
              <w:left w:val="single" w:color="auto" w:sz="4" w:space="0"/>
              <w:bottom w:val="single" w:color="000000" w:sz="4" w:space="0"/>
              <w:right w:val="single" w:color="000000" w:sz="4" w:space="0"/>
            </w:tcBorders>
            <w:noWrap w:val="0"/>
            <w:vAlign w:val="center"/>
          </w:tcPr>
          <w:p w14:paraId="2FA36112">
            <w:pPr>
              <w:widowControl/>
              <w:spacing w:line="500" w:lineRule="exact"/>
              <w:jc w:val="left"/>
              <w:rPr>
                <w:rFonts w:hint="eastAsia" w:ascii="宋体" w:hAnsi="宋体" w:cs="宋体"/>
                <w:color w:val="auto"/>
                <w:kern w:val="0"/>
                <w:sz w:val="24"/>
              </w:rPr>
            </w:pPr>
          </w:p>
        </w:tc>
        <w:tc>
          <w:tcPr>
            <w:tcW w:w="906" w:type="dxa"/>
            <w:tcBorders>
              <w:top w:val="single" w:color="000000" w:sz="4" w:space="0"/>
              <w:left w:val="single" w:color="auto" w:sz="4" w:space="0"/>
              <w:bottom w:val="single" w:color="000000" w:sz="4" w:space="0"/>
              <w:right w:val="single" w:color="000000" w:sz="4" w:space="0"/>
            </w:tcBorders>
            <w:noWrap w:val="0"/>
            <w:vAlign w:val="center"/>
          </w:tcPr>
          <w:p w14:paraId="73B57C3D">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61D35A11">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5061BE8C">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7BEA2ED7">
            <w:pPr>
              <w:widowControl/>
              <w:spacing w:line="500" w:lineRule="exact"/>
              <w:jc w:val="left"/>
              <w:rPr>
                <w:rFonts w:hint="eastAsia" w:ascii="宋体" w:hAnsi="宋体" w:cs="宋体"/>
                <w:color w:val="auto"/>
                <w:kern w:val="0"/>
                <w:sz w:val="24"/>
              </w:rPr>
            </w:pPr>
          </w:p>
        </w:tc>
        <w:tc>
          <w:tcPr>
            <w:tcW w:w="1042" w:type="dxa"/>
            <w:tcBorders>
              <w:top w:val="single" w:color="000000" w:sz="4" w:space="0"/>
              <w:left w:val="nil"/>
              <w:bottom w:val="single" w:color="000000" w:sz="4" w:space="0"/>
              <w:right w:val="single" w:color="000000" w:sz="4" w:space="0"/>
            </w:tcBorders>
            <w:noWrap w:val="0"/>
            <w:vAlign w:val="center"/>
          </w:tcPr>
          <w:p w14:paraId="6181D325">
            <w:pPr>
              <w:widowControl/>
              <w:spacing w:line="500" w:lineRule="exact"/>
              <w:jc w:val="left"/>
              <w:rPr>
                <w:rFonts w:hint="eastAsia" w:ascii="宋体" w:hAnsi="宋体" w:cs="宋体"/>
                <w:color w:val="auto"/>
                <w:kern w:val="0"/>
                <w:sz w:val="24"/>
              </w:rPr>
            </w:pPr>
          </w:p>
        </w:tc>
      </w:tr>
      <w:tr w14:paraId="5C2D52B4">
        <w:tblPrEx>
          <w:tblCellMar>
            <w:top w:w="0" w:type="dxa"/>
            <w:left w:w="108" w:type="dxa"/>
            <w:bottom w:w="0" w:type="dxa"/>
            <w:right w:w="108" w:type="dxa"/>
          </w:tblCellMar>
        </w:tblPrEx>
        <w:trPr>
          <w:trHeight w:val="785" w:hRule="atLeast"/>
          <w:jc w:val="center"/>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0DD945D2">
            <w:pPr>
              <w:widowControl/>
              <w:spacing w:line="500" w:lineRule="exact"/>
              <w:jc w:val="center"/>
              <w:rPr>
                <w:rFonts w:hint="eastAsia" w:ascii="宋体" w:hAnsi="宋体" w:cs="宋体"/>
                <w:color w:val="auto"/>
                <w:kern w:val="0"/>
                <w:sz w:val="24"/>
              </w:rPr>
            </w:pPr>
            <w:r>
              <w:rPr>
                <w:rFonts w:hint="eastAsia" w:ascii="宋体" w:hAnsi="宋体" w:cs="宋体"/>
                <w:color w:val="auto"/>
                <w:kern w:val="0"/>
                <w:sz w:val="24"/>
              </w:rPr>
              <w:t>3</w:t>
            </w:r>
          </w:p>
        </w:tc>
        <w:tc>
          <w:tcPr>
            <w:tcW w:w="1485" w:type="dxa"/>
            <w:tcBorders>
              <w:top w:val="single" w:color="000000" w:sz="4" w:space="0"/>
              <w:left w:val="nil"/>
              <w:bottom w:val="single" w:color="000000" w:sz="4" w:space="0"/>
              <w:right w:val="single" w:color="000000" w:sz="4" w:space="0"/>
            </w:tcBorders>
            <w:noWrap w:val="0"/>
            <w:vAlign w:val="center"/>
          </w:tcPr>
          <w:p w14:paraId="780D4AA3">
            <w:pPr>
              <w:widowControl/>
              <w:spacing w:line="500" w:lineRule="exact"/>
              <w:jc w:val="left"/>
              <w:rPr>
                <w:rFonts w:hint="eastAsia" w:ascii="宋体" w:hAnsi="宋体" w:cs="宋体"/>
                <w:color w:val="auto"/>
                <w:kern w:val="0"/>
                <w:sz w:val="24"/>
              </w:rPr>
            </w:pPr>
          </w:p>
        </w:tc>
        <w:tc>
          <w:tcPr>
            <w:tcW w:w="1665" w:type="dxa"/>
            <w:tcBorders>
              <w:top w:val="single" w:color="000000" w:sz="4" w:space="0"/>
              <w:left w:val="nil"/>
              <w:bottom w:val="single" w:color="000000" w:sz="4" w:space="0"/>
              <w:right w:val="single" w:color="auto" w:sz="4" w:space="0"/>
            </w:tcBorders>
            <w:noWrap w:val="0"/>
            <w:vAlign w:val="center"/>
          </w:tcPr>
          <w:p w14:paraId="74ED013A">
            <w:pPr>
              <w:widowControl/>
              <w:spacing w:line="500" w:lineRule="exact"/>
              <w:jc w:val="left"/>
              <w:rPr>
                <w:rFonts w:hint="eastAsia" w:ascii="宋体" w:hAnsi="宋体" w:cs="宋体"/>
                <w:color w:val="auto"/>
                <w:kern w:val="0"/>
                <w:sz w:val="24"/>
              </w:rPr>
            </w:pPr>
          </w:p>
        </w:tc>
        <w:tc>
          <w:tcPr>
            <w:tcW w:w="1399" w:type="dxa"/>
            <w:tcBorders>
              <w:top w:val="single" w:color="000000" w:sz="4" w:space="0"/>
              <w:left w:val="single" w:color="auto" w:sz="4" w:space="0"/>
              <w:bottom w:val="single" w:color="000000" w:sz="4" w:space="0"/>
              <w:right w:val="single" w:color="000000" w:sz="4" w:space="0"/>
            </w:tcBorders>
            <w:noWrap w:val="0"/>
            <w:vAlign w:val="center"/>
          </w:tcPr>
          <w:p w14:paraId="166B2DBB">
            <w:pPr>
              <w:widowControl/>
              <w:spacing w:line="500" w:lineRule="exact"/>
              <w:jc w:val="left"/>
              <w:rPr>
                <w:rFonts w:hint="eastAsia" w:ascii="宋体" w:hAnsi="宋体" w:cs="宋体"/>
                <w:color w:val="auto"/>
                <w:kern w:val="0"/>
                <w:sz w:val="24"/>
              </w:rPr>
            </w:pPr>
          </w:p>
        </w:tc>
        <w:tc>
          <w:tcPr>
            <w:tcW w:w="906" w:type="dxa"/>
            <w:tcBorders>
              <w:top w:val="single" w:color="000000" w:sz="4" w:space="0"/>
              <w:left w:val="single" w:color="auto" w:sz="4" w:space="0"/>
              <w:bottom w:val="single" w:color="000000" w:sz="4" w:space="0"/>
              <w:right w:val="single" w:color="000000" w:sz="4" w:space="0"/>
            </w:tcBorders>
            <w:noWrap w:val="0"/>
            <w:vAlign w:val="center"/>
          </w:tcPr>
          <w:p w14:paraId="242F445F">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792F498B">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13B9A660">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0CA050A8">
            <w:pPr>
              <w:widowControl/>
              <w:spacing w:line="500" w:lineRule="exact"/>
              <w:jc w:val="left"/>
              <w:rPr>
                <w:rFonts w:hint="eastAsia" w:ascii="宋体" w:hAnsi="宋体" w:cs="宋体"/>
                <w:color w:val="auto"/>
                <w:kern w:val="0"/>
                <w:sz w:val="24"/>
              </w:rPr>
            </w:pPr>
          </w:p>
        </w:tc>
        <w:tc>
          <w:tcPr>
            <w:tcW w:w="1042" w:type="dxa"/>
            <w:tcBorders>
              <w:top w:val="single" w:color="000000" w:sz="4" w:space="0"/>
              <w:left w:val="nil"/>
              <w:bottom w:val="single" w:color="000000" w:sz="4" w:space="0"/>
              <w:right w:val="single" w:color="000000" w:sz="4" w:space="0"/>
            </w:tcBorders>
            <w:noWrap w:val="0"/>
            <w:vAlign w:val="center"/>
          </w:tcPr>
          <w:p w14:paraId="7F96171E">
            <w:pPr>
              <w:widowControl/>
              <w:spacing w:line="500" w:lineRule="exact"/>
              <w:jc w:val="left"/>
              <w:rPr>
                <w:rFonts w:hint="eastAsia" w:ascii="宋体" w:hAnsi="宋体" w:cs="宋体"/>
                <w:color w:val="auto"/>
                <w:kern w:val="0"/>
                <w:sz w:val="24"/>
              </w:rPr>
            </w:pPr>
          </w:p>
        </w:tc>
      </w:tr>
      <w:tr w14:paraId="43341137">
        <w:tblPrEx>
          <w:tblCellMar>
            <w:top w:w="0" w:type="dxa"/>
            <w:left w:w="108" w:type="dxa"/>
            <w:bottom w:w="0" w:type="dxa"/>
            <w:right w:w="108" w:type="dxa"/>
          </w:tblCellMar>
        </w:tblPrEx>
        <w:trPr>
          <w:trHeight w:val="785" w:hRule="atLeast"/>
          <w:jc w:val="center"/>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650386C7">
            <w:pPr>
              <w:widowControl/>
              <w:spacing w:line="500" w:lineRule="exact"/>
              <w:jc w:val="center"/>
              <w:rPr>
                <w:rFonts w:hint="eastAsia" w:ascii="宋体" w:hAnsi="宋体" w:cs="宋体"/>
                <w:color w:val="auto"/>
                <w:kern w:val="0"/>
                <w:sz w:val="24"/>
              </w:rPr>
            </w:pPr>
            <w:r>
              <w:rPr>
                <w:rFonts w:hint="eastAsia" w:ascii="宋体" w:hAnsi="宋体" w:cs="宋体"/>
                <w:color w:val="auto"/>
                <w:kern w:val="0"/>
                <w:sz w:val="24"/>
              </w:rPr>
              <w:t>……</w:t>
            </w:r>
          </w:p>
        </w:tc>
        <w:tc>
          <w:tcPr>
            <w:tcW w:w="1485" w:type="dxa"/>
            <w:tcBorders>
              <w:top w:val="single" w:color="000000" w:sz="4" w:space="0"/>
              <w:left w:val="nil"/>
              <w:bottom w:val="single" w:color="000000" w:sz="4" w:space="0"/>
              <w:right w:val="single" w:color="000000" w:sz="4" w:space="0"/>
            </w:tcBorders>
            <w:noWrap w:val="0"/>
            <w:vAlign w:val="center"/>
          </w:tcPr>
          <w:p w14:paraId="247575BF">
            <w:pPr>
              <w:widowControl/>
              <w:spacing w:line="500" w:lineRule="exact"/>
              <w:jc w:val="left"/>
              <w:rPr>
                <w:rFonts w:hint="eastAsia" w:ascii="宋体" w:hAnsi="宋体" w:cs="宋体"/>
                <w:color w:val="auto"/>
                <w:kern w:val="0"/>
                <w:sz w:val="24"/>
              </w:rPr>
            </w:pPr>
          </w:p>
        </w:tc>
        <w:tc>
          <w:tcPr>
            <w:tcW w:w="1665" w:type="dxa"/>
            <w:tcBorders>
              <w:top w:val="single" w:color="000000" w:sz="4" w:space="0"/>
              <w:left w:val="nil"/>
              <w:bottom w:val="single" w:color="000000" w:sz="4" w:space="0"/>
              <w:right w:val="single" w:color="auto" w:sz="4" w:space="0"/>
            </w:tcBorders>
            <w:noWrap w:val="0"/>
            <w:vAlign w:val="center"/>
          </w:tcPr>
          <w:p w14:paraId="58F6B2B7">
            <w:pPr>
              <w:widowControl/>
              <w:spacing w:line="500" w:lineRule="exact"/>
              <w:jc w:val="left"/>
              <w:rPr>
                <w:rFonts w:hint="eastAsia" w:ascii="宋体" w:hAnsi="宋体" w:cs="宋体"/>
                <w:color w:val="auto"/>
                <w:kern w:val="0"/>
                <w:sz w:val="24"/>
              </w:rPr>
            </w:pPr>
          </w:p>
        </w:tc>
        <w:tc>
          <w:tcPr>
            <w:tcW w:w="1399" w:type="dxa"/>
            <w:tcBorders>
              <w:top w:val="single" w:color="000000" w:sz="4" w:space="0"/>
              <w:left w:val="single" w:color="auto" w:sz="4" w:space="0"/>
              <w:bottom w:val="single" w:color="000000" w:sz="4" w:space="0"/>
              <w:right w:val="single" w:color="000000" w:sz="4" w:space="0"/>
            </w:tcBorders>
            <w:noWrap w:val="0"/>
            <w:vAlign w:val="center"/>
          </w:tcPr>
          <w:p w14:paraId="0BABE4E6">
            <w:pPr>
              <w:widowControl/>
              <w:spacing w:line="500" w:lineRule="exact"/>
              <w:jc w:val="left"/>
              <w:rPr>
                <w:rFonts w:hint="eastAsia" w:ascii="宋体" w:hAnsi="宋体" w:cs="宋体"/>
                <w:color w:val="auto"/>
                <w:kern w:val="0"/>
                <w:sz w:val="24"/>
              </w:rPr>
            </w:pPr>
          </w:p>
        </w:tc>
        <w:tc>
          <w:tcPr>
            <w:tcW w:w="906" w:type="dxa"/>
            <w:tcBorders>
              <w:top w:val="single" w:color="000000" w:sz="4" w:space="0"/>
              <w:left w:val="single" w:color="auto" w:sz="4" w:space="0"/>
              <w:bottom w:val="single" w:color="000000" w:sz="4" w:space="0"/>
              <w:right w:val="single" w:color="000000" w:sz="4" w:space="0"/>
            </w:tcBorders>
            <w:noWrap w:val="0"/>
            <w:vAlign w:val="center"/>
          </w:tcPr>
          <w:p w14:paraId="628568EF">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45B0E70C">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54BE17D0">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4343E12E">
            <w:pPr>
              <w:widowControl/>
              <w:spacing w:line="500" w:lineRule="exact"/>
              <w:jc w:val="left"/>
              <w:rPr>
                <w:rFonts w:hint="eastAsia" w:ascii="宋体" w:hAnsi="宋体" w:cs="宋体"/>
                <w:color w:val="auto"/>
                <w:kern w:val="0"/>
                <w:sz w:val="24"/>
              </w:rPr>
            </w:pPr>
          </w:p>
        </w:tc>
        <w:tc>
          <w:tcPr>
            <w:tcW w:w="1042" w:type="dxa"/>
            <w:tcBorders>
              <w:top w:val="single" w:color="000000" w:sz="4" w:space="0"/>
              <w:left w:val="nil"/>
              <w:bottom w:val="single" w:color="000000" w:sz="4" w:space="0"/>
              <w:right w:val="single" w:color="000000" w:sz="4" w:space="0"/>
            </w:tcBorders>
            <w:noWrap w:val="0"/>
            <w:vAlign w:val="center"/>
          </w:tcPr>
          <w:p w14:paraId="3F4F18E4">
            <w:pPr>
              <w:widowControl/>
              <w:spacing w:line="500" w:lineRule="exact"/>
              <w:jc w:val="left"/>
              <w:rPr>
                <w:rFonts w:hint="eastAsia" w:ascii="宋体" w:hAnsi="宋体" w:cs="宋体"/>
                <w:color w:val="auto"/>
                <w:kern w:val="0"/>
                <w:sz w:val="24"/>
              </w:rPr>
            </w:pPr>
          </w:p>
        </w:tc>
      </w:tr>
      <w:tr w14:paraId="2BDB0296">
        <w:tblPrEx>
          <w:tblCellMar>
            <w:top w:w="0" w:type="dxa"/>
            <w:left w:w="108" w:type="dxa"/>
            <w:bottom w:w="0" w:type="dxa"/>
            <w:right w:w="108" w:type="dxa"/>
          </w:tblCellMar>
        </w:tblPrEx>
        <w:trPr>
          <w:trHeight w:val="785" w:hRule="atLeast"/>
          <w:jc w:val="center"/>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4CE7B8FE">
            <w:pPr>
              <w:widowControl/>
              <w:spacing w:line="500" w:lineRule="exact"/>
              <w:jc w:val="center"/>
              <w:rPr>
                <w:rFonts w:hint="eastAsia" w:ascii="宋体" w:hAnsi="宋体" w:cs="宋体"/>
                <w:color w:val="auto"/>
                <w:kern w:val="0"/>
                <w:sz w:val="24"/>
              </w:rPr>
            </w:pPr>
          </w:p>
        </w:tc>
        <w:tc>
          <w:tcPr>
            <w:tcW w:w="1485" w:type="dxa"/>
            <w:tcBorders>
              <w:top w:val="single" w:color="000000" w:sz="4" w:space="0"/>
              <w:left w:val="nil"/>
              <w:bottom w:val="single" w:color="000000" w:sz="4" w:space="0"/>
              <w:right w:val="single" w:color="000000" w:sz="4" w:space="0"/>
            </w:tcBorders>
            <w:noWrap w:val="0"/>
            <w:vAlign w:val="center"/>
          </w:tcPr>
          <w:p w14:paraId="423E5917">
            <w:pPr>
              <w:widowControl/>
              <w:snapToGrid w:val="0"/>
              <w:spacing w:line="500" w:lineRule="exact"/>
              <w:jc w:val="center"/>
              <w:rPr>
                <w:rFonts w:hint="eastAsia" w:ascii="宋体" w:hAnsi="宋体" w:cs="宋体"/>
                <w:color w:val="auto"/>
                <w:kern w:val="0"/>
                <w:sz w:val="24"/>
              </w:rPr>
            </w:pPr>
          </w:p>
        </w:tc>
        <w:tc>
          <w:tcPr>
            <w:tcW w:w="1665" w:type="dxa"/>
            <w:tcBorders>
              <w:top w:val="single" w:color="000000" w:sz="4" w:space="0"/>
              <w:left w:val="nil"/>
              <w:bottom w:val="single" w:color="000000" w:sz="4" w:space="0"/>
              <w:right w:val="single" w:color="auto" w:sz="4" w:space="0"/>
            </w:tcBorders>
            <w:noWrap w:val="0"/>
            <w:vAlign w:val="center"/>
          </w:tcPr>
          <w:p w14:paraId="3581DF97">
            <w:pPr>
              <w:widowControl/>
              <w:snapToGrid w:val="0"/>
              <w:spacing w:line="500" w:lineRule="exact"/>
              <w:jc w:val="center"/>
              <w:rPr>
                <w:rFonts w:hint="eastAsia" w:ascii="宋体" w:hAnsi="宋体" w:cs="宋体"/>
                <w:color w:val="auto"/>
                <w:kern w:val="0"/>
                <w:sz w:val="24"/>
              </w:rPr>
            </w:pPr>
          </w:p>
        </w:tc>
        <w:tc>
          <w:tcPr>
            <w:tcW w:w="1399" w:type="dxa"/>
            <w:tcBorders>
              <w:top w:val="single" w:color="000000" w:sz="4" w:space="0"/>
              <w:left w:val="single" w:color="auto" w:sz="4" w:space="0"/>
              <w:bottom w:val="single" w:color="000000" w:sz="4" w:space="0"/>
              <w:right w:val="single" w:color="000000" w:sz="4" w:space="0"/>
            </w:tcBorders>
            <w:noWrap w:val="0"/>
            <w:vAlign w:val="center"/>
          </w:tcPr>
          <w:p w14:paraId="1127FC01">
            <w:pPr>
              <w:widowControl/>
              <w:spacing w:line="500" w:lineRule="exact"/>
              <w:jc w:val="left"/>
              <w:rPr>
                <w:rFonts w:hint="eastAsia" w:ascii="宋体" w:hAnsi="宋体" w:cs="宋体"/>
                <w:color w:val="auto"/>
                <w:kern w:val="0"/>
                <w:sz w:val="24"/>
              </w:rPr>
            </w:pPr>
          </w:p>
        </w:tc>
        <w:tc>
          <w:tcPr>
            <w:tcW w:w="906" w:type="dxa"/>
            <w:tcBorders>
              <w:top w:val="single" w:color="000000" w:sz="4" w:space="0"/>
              <w:left w:val="single" w:color="auto" w:sz="4" w:space="0"/>
              <w:bottom w:val="single" w:color="000000" w:sz="4" w:space="0"/>
              <w:right w:val="single" w:color="000000" w:sz="4" w:space="0"/>
            </w:tcBorders>
            <w:noWrap w:val="0"/>
            <w:vAlign w:val="center"/>
          </w:tcPr>
          <w:p w14:paraId="4E4258BB">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24F4C14A">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765CB823">
            <w:pPr>
              <w:widowControl/>
              <w:spacing w:line="500" w:lineRule="exact"/>
              <w:jc w:val="left"/>
              <w:rPr>
                <w:rFonts w:hint="eastAsia" w:ascii="宋体" w:hAnsi="宋体" w:cs="宋体"/>
                <w:color w:val="auto"/>
                <w:kern w:val="0"/>
                <w:sz w:val="24"/>
              </w:rPr>
            </w:pPr>
          </w:p>
        </w:tc>
        <w:tc>
          <w:tcPr>
            <w:tcW w:w="947" w:type="dxa"/>
            <w:tcBorders>
              <w:top w:val="single" w:color="000000" w:sz="4" w:space="0"/>
              <w:left w:val="nil"/>
              <w:bottom w:val="single" w:color="000000" w:sz="4" w:space="0"/>
              <w:right w:val="single" w:color="000000" w:sz="4" w:space="0"/>
            </w:tcBorders>
            <w:noWrap w:val="0"/>
            <w:vAlign w:val="center"/>
          </w:tcPr>
          <w:p w14:paraId="79846BC5">
            <w:pPr>
              <w:widowControl/>
              <w:spacing w:line="500" w:lineRule="exact"/>
              <w:jc w:val="left"/>
              <w:rPr>
                <w:rFonts w:hint="eastAsia" w:ascii="宋体" w:hAnsi="宋体" w:cs="宋体"/>
                <w:color w:val="auto"/>
                <w:kern w:val="0"/>
                <w:sz w:val="24"/>
              </w:rPr>
            </w:pPr>
          </w:p>
        </w:tc>
        <w:tc>
          <w:tcPr>
            <w:tcW w:w="1042" w:type="dxa"/>
            <w:tcBorders>
              <w:top w:val="single" w:color="000000" w:sz="4" w:space="0"/>
              <w:left w:val="nil"/>
              <w:bottom w:val="single" w:color="000000" w:sz="4" w:space="0"/>
              <w:right w:val="single" w:color="000000" w:sz="4" w:space="0"/>
            </w:tcBorders>
            <w:noWrap w:val="0"/>
            <w:vAlign w:val="center"/>
          </w:tcPr>
          <w:p w14:paraId="45BEDA68">
            <w:pPr>
              <w:widowControl/>
              <w:spacing w:line="500" w:lineRule="exact"/>
              <w:jc w:val="left"/>
              <w:rPr>
                <w:rFonts w:hint="eastAsia" w:ascii="宋体" w:hAnsi="宋体" w:cs="宋体"/>
                <w:color w:val="auto"/>
                <w:kern w:val="0"/>
                <w:sz w:val="24"/>
              </w:rPr>
            </w:pPr>
          </w:p>
        </w:tc>
      </w:tr>
      <w:tr w14:paraId="48DDE840">
        <w:tblPrEx>
          <w:tblCellMar>
            <w:top w:w="0" w:type="dxa"/>
            <w:left w:w="108" w:type="dxa"/>
            <w:bottom w:w="0" w:type="dxa"/>
            <w:right w:w="108" w:type="dxa"/>
          </w:tblCellMar>
        </w:tblPrEx>
        <w:trPr>
          <w:trHeight w:val="1190" w:hRule="atLeast"/>
          <w:jc w:val="center"/>
        </w:trPr>
        <w:tc>
          <w:tcPr>
            <w:tcW w:w="4057" w:type="dxa"/>
            <w:gridSpan w:val="3"/>
            <w:tcBorders>
              <w:top w:val="single" w:color="000000" w:sz="4" w:space="0"/>
              <w:left w:val="single" w:color="000000" w:sz="4" w:space="0"/>
              <w:bottom w:val="single" w:color="000000" w:sz="4" w:space="0"/>
              <w:right w:val="single" w:color="auto" w:sz="4" w:space="0"/>
            </w:tcBorders>
            <w:noWrap w:val="0"/>
            <w:vAlign w:val="center"/>
          </w:tcPr>
          <w:p w14:paraId="2A85D065">
            <w:pPr>
              <w:widowControl/>
              <w:snapToGrid w:val="0"/>
              <w:spacing w:before="100" w:beforeAutospacing="1" w:after="100" w:afterAutospacing="1" w:line="500" w:lineRule="exact"/>
              <w:ind w:right="-330"/>
              <w:jc w:val="center"/>
              <w:rPr>
                <w:rFonts w:hint="eastAsia" w:ascii="宋体" w:hAnsi="宋体" w:cs="宋体"/>
                <w:color w:val="auto"/>
                <w:kern w:val="0"/>
                <w:sz w:val="24"/>
              </w:rPr>
            </w:pPr>
            <w:r>
              <w:rPr>
                <w:rFonts w:hint="eastAsia" w:ascii="宋体" w:hAnsi="宋体" w:cs="宋体"/>
                <w:color w:val="auto"/>
                <w:sz w:val="24"/>
              </w:rPr>
              <w:t>报价金额合计</w:t>
            </w:r>
          </w:p>
        </w:tc>
        <w:tc>
          <w:tcPr>
            <w:tcW w:w="6188" w:type="dxa"/>
            <w:gridSpan w:val="6"/>
            <w:tcBorders>
              <w:top w:val="single" w:color="000000" w:sz="4" w:space="0"/>
              <w:left w:val="single" w:color="auto" w:sz="4" w:space="0"/>
              <w:bottom w:val="single" w:color="000000" w:sz="4" w:space="0"/>
              <w:right w:val="single" w:color="000000" w:sz="4" w:space="0"/>
            </w:tcBorders>
            <w:noWrap w:val="0"/>
            <w:vAlign w:val="center"/>
          </w:tcPr>
          <w:p w14:paraId="1C40F11C">
            <w:pPr>
              <w:spacing w:line="500" w:lineRule="exact"/>
              <w:rPr>
                <w:rFonts w:hint="eastAsia" w:ascii="宋体" w:hAnsi="宋体" w:cs="宋体"/>
                <w:color w:val="auto"/>
                <w:sz w:val="24"/>
              </w:rPr>
            </w:pPr>
            <w:r>
              <w:rPr>
                <w:rFonts w:hint="eastAsia" w:ascii="宋体" w:hAnsi="宋体" w:cs="宋体"/>
                <w:color w:val="auto"/>
                <w:sz w:val="24"/>
              </w:rPr>
              <w:t>大写：</w:t>
            </w:r>
          </w:p>
          <w:p w14:paraId="0046E7E5">
            <w:pPr>
              <w:spacing w:line="500" w:lineRule="exact"/>
              <w:rPr>
                <w:rFonts w:hint="eastAsia" w:ascii="宋体" w:hAnsi="宋体" w:cs="宋体"/>
                <w:color w:val="auto"/>
                <w:sz w:val="24"/>
              </w:rPr>
            </w:pPr>
            <w:r>
              <w:rPr>
                <w:rFonts w:hint="eastAsia" w:ascii="宋体" w:hAnsi="宋体" w:cs="宋体"/>
                <w:color w:val="auto"/>
                <w:sz w:val="24"/>
              </w:rPr>
              <w:t>小写：</w:t>
            </w:r>
          </w:p>
        </w:tc>
      </w:tr>
      <w:tr w14:paraId="34ED6C09">
        <w:tblPrEx>
          <w:tblCellMar>
            <w:top w:w="0" w:type="dxa"/>
            <w:left w:w="108" w:type="dxa"/>
            <w:bottom w:w="0" w:type="dxa"/>
            <w:right w:w="108" w:type="dxa"/>
          </w:tblCellMar>
        </w:tblPrEx>
        <w:trPr>
          <w:trHeight w:val="837" w:hRule="atLeast"/>
          <w:jc w:val="center"/>
        </w:trPr>
        <w:tc>
          <w:tcPr>
            <w:tcW w:w="10245" w:type="dxa"/>
            <w:gridSpan w:val="9"/>
            <w:tcBorders>
              <w:top w:val="single" w:color="000000" w:sz="4" w:space="0"/>
              <w:left w:val="single" w:color="000000" w:sz="4" w:space="0"/>
              <w:bottom w:val="single" w:color="000000" w:sz="4" w:space="0"/>
              <w:right w:val="single" w:color="000000" w:sz="4" w:space="0"/>
            </w:tcBorders>
            <w:noWrap w:val="0"/>
            <w:vAlign w:val="center"/>
          </w:tcPr>
          <w:p w14:paraId="3756AE89">
            <w:pPr>
              <w:widowControl/>
              <w:snapToGrid w:val="0"/>
              <w:spacing w:before="100" w:beforeAutospacing="1" w:after="100" w:afterAutospacing="1" w:line="500" w:lineRule="exact"/>
              <w:ind w:right="-330"/>
              <w:rPr>
                <w:rFonts w:hint="eastAsia" w:ascii="宋体" w:hAnsi="宋体" w:cs="宋体"/>
                <w:b/>
                <w:color w:val="auto"/>
                <w:kern w:val="0"/>
                <w:sz w:val="24"/>
              </w:rPr>
            </w:pPr>
            <w:r>
              <w:rPr>
                <w:rFonts w:hint="eastAsia" w:ascii="宋体" w:hAnsi="宋体" w:cs="宋体"/>
                <w:b/>
                <w:color w:val="auto"/>
                <w:kern w:val="0"/>
                <w:sz w:val="24"/>
              </w:rPr>
              <w:t xml:space="preserve">备注： </w:t>
            </w:r>
          </w:p>
        </w:tc>
      </w:tr>
    </w:tbl>
    <w:p w14:paraId="5371BE0B">
      <w:pPr>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注：此表格若不够用，可根据实际自行扩展表格。</w:t>
      </w:r>
    </w:p>
    <w:p w14:paraId="29908091">
      <w:pPr>
        <w:spacing w:line="480" w:lineRule="exact"/>
        <w:ind w:firstLine="480" w:firstLineChars="200"/>
        <w:rPr>
          <w:rFonts w:hint="eastAsia" w:ascii="宋体" w:hAnsi="宋体" w:cs="宋体"/>
          <w:bCs/>
          <w:color w:val="auto"/>
          <w:sz w:val="24"/>
        </w:rPr>
      </w:pPr>
    </w:p>
    <w:p w14:paraId="66FC0623">
      <w:pPr>
        <w:pStyle w:val="4"/>
        <w:rPr>
          <w:rFonts w:hint="eastAsia"/>
          <w:color w:val="auto"/>
        </w:rPr>
      </w:pPr>
    </w:p>
    <w:p w14:paraId="0AA811B5">
      <w:pPr>
        <w:spacing w:line="480" w:lineRule="auto"/>
        <w:ind w:firstLine="480" w:firstLineChars="200"/>
        <w:rPr>
          <w:rFonts w:hint="eastAsia" w:ascii="宋体" w:hAnsi="宋体" w:cs="宋体"/>
          <w:bCs/>
          <w:color w:val="auto"/>
          <w:sz w:val="24"/>
        </w:rPr>
      </w:pPr>
      <w:r>
        <w:rPr>
          <w:rFonts w:hint="eastAsia" w:ascii="宋体" w:hAnsi="宋体" w:cs="宋体"/>
          <w:bCs/>
          <w:color w:val="auto"/>
          <w:sz w:val="24"/>
        </w:rPr>
        <w:t>供应商名称：（公章签章）</w:t>
      </w:r>
    </w:p>
    <w:p w14:paraId="5F95D604">
      <w:pPr>
        <w:spacing w:line="480" w:lineRule="auto"/>
        <w:ind w:firstLine="480" w:firstLineChars="200"/>
        <w:rPr>
          <w:rFonts w:hint="eastAsia" w:ascii="宋体" w:hAnsi="宋体" w:cs="宋体"/>
          <w:bCs/>
          <w:color w:val="auto"/>
          <w:sz w:val="24"/>
        </w:rPr>
      </w:pPr>
      <w:r>
        <w:rPr>
          <w:rFonts w:hint="eastAsia" w:ascii="宋体" w:hAnsi="宋体" w:cs="宋体"/>
          <w:bCs/>
          <w:color w:val="auto"/>
          <w:sz w:val="24"/>
        </w:rPr>
        <w:t xml:space="preserve">法定代表人或委托代理人：（法人签章）                                                                     </w:t>
      </w:r>
    </w:p>
    <w:p w14:paraId="4FD3A1D7">
      <w:pPr>
        <w:spacing w:line="480" w:lineRule="auto"/>
        <w:ind w:firstLine="480" w:firstLineChars="200"/>
        <w:rPr>
          <w:rFonts w:hint="eastAsia" w:ascii="宋体" w:hAnsi="宋体" w:cs="宋体"/>
          <w:bCs/>
          <w:color w:val="auto"/>
          <w:sz w:val="24"/>
        </w:rPr>
      </w:pPr>
      <w:r>
        <w:rPr>
          <w:rFonts w:hint="eastAsia" w:ascii="宋体" w:hAnsi="宋体" w:cs="宋体"/>
          <w:bCs/>
          <w:color w:val="auto"/>
          <w:sz w:val="24"/>
        </w:rPr>
        <w:t>日期：      年    月    日</w:t>
      </w:r>
    </w:p>
    <w:p w14:paraId="4CA87053">
      <w:pPr>
        <w:spacing w:line="480" w:lineRule="exact"/>
        <w:rPr>
          <w:rFonts w:hint="eastAsia" w:ascii="宋体" w:hAnsi="宋体" w:cs="宋体"/>
          <w:color w:val="auto"/>
          <w:sz w:val="24"/>
        </w:rPr>
      </w:pPr>
    </w:p>
    <w:p w14:paraId="3A6C65A9">
      <w:pPr>
        <w:ind w:firstLine="630" w:firstLineChars="300"/>
        <w:jc w:val="center"/>
        <w:rPr>
          <w:rFonts w:hint="eastAsia" w:ascii="宋体" w:hAnsi="宋体" w:cs="宋体"/>
          <w:color w:val="auto"/>
        </w:rPr>
      </w:pPr>
      <w:r>
        <w:rPr>
          <w:rFonts w:hint="eastAsia" w:ascii="宋体" w:hAnsi="宋体" w:cs="宋体"/>
          <w:color w:val="auto"/>
        </w:rPr>
        <w:br w:type="page"/>
      </w:r>
      <w:bookmarkStart w:id="131" w:name="_Toc26862"/>
      <w:bookmarkEnd w:id="131"/>
    </w:p>
    <w:p w14:paraId="3222A14F">
      <w:pPr>
        <w:ind w:firstLine="723" w:firstLineChars="300"/>
        <w:jc w:val="center"/>
        <w:rPr>
          <w:rFonts w:hint="eastAsia" w:ascii="宋体" w:hAnsi="宋体" w:cs="宋体"/>
          <w:b/>
          <w:bCs/>
          <w:color w:val="auto"/>
          <w:sz w:val="24"/>
        </w:rPr>
      </w:pPr>
      <w:r>
        <w:rPr>
          <w:rFonts w:hint="eastAsia" w:ascii="宋体" w:hAnsi="宋体" w:cs="宋体"/>
          <w:b/>
          <w:bCs/>
          <w:color w:val="auto"/>
          <w:sz w:val="24"/>
          <w:szCs w:val="32"/>
        </w:rPr>
        <w:t>3.技术要求响应与偏差表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66"/>
        <w:gridCol w:w="2355"/>
        <w:gridCol w:w="2625"/>
        <w:gridCol w:w="780"/>
        <w:gridCol w:w="686"/>
      </w:tblGrid>
      <w:tr w14:paraId="0467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14:paraId="212FF633">
            <w:pPr>
              <w:autoSpaceDE w:val="0"/>
              <w:autoSpaceDN w:val="0"/>
              <w:adjustRightInd w:val="0"/>
              <w:spacing w:line="360" w:lineRule="auto"/>
              <w:rPr>
                <w:rFonts w:hint="eastAsia" w:ascii="宋体" w:hAnsi="宋体" w:cs="宋体"/>
                <w:color w:val="auto"/>
                <w:spacing w:val="10"/>
                <w:sz w:val="24"/>
              </w:rPr>
            </w:pPr>
            <w:r>
              <w:rPr>
                <w:rFonts w:hint="eastAsia" w:ascii="宋体" w:hAnsi="宋体" w:cs="宋体"/>
                <w:color w:val="auto"/>
                <w:spacing w:val="10"/>
                <w:sz w:val="24"/>
              </w:rPr>
              <w:t>序号</w:t>
            </w:r>
          </w:p>
        </w:tc>
        <w:tc>
          <w:tcPr>
            <w:tcW w:w="1366" w:type="dxa"/>
            <w:vMerge w:val="restart"/>
            <w:tcBorders>
              <w:top w:val="single" w:color="auto" w:sz="4" w:space="0"/>
              <w:left w:val="nil"/>
              <w:bottom w:val="single" w:color="auto" w:sz="4" w:space="0"/>
              <w:right w:val="single" w:color="auto" w:sz="4" w:space="0"/>
            </w:tcBorders>
            <w:noWrap w:val="0"/>
            <w:vAlign w:val="center"/>
          </w:tcPr>
          <w:p w14:paraId="25D870D4">
            <w:pPr>
              <w:autoSpaceDE w:val="0"/>
              <w:autoSpaceDN w:val="0"/>
              <w:adjustRightInd w:val="0"/>
              <w:spacing w:line="360" w:lineRule="auto"/>
              <w:rPr>
                <w:rFonts w:hint="eastAsia" w:ascii="宋体" w:hAnsi="宋体" w:cs="宋体"/>
                <w:color w:val="auto"/>
                <w:spacing w:val="10"/>
                <w:sz w:val="24"/>
              </w:rPr>
            </w:pPr>
            <w:r>
              <w:rPr>
                <w:rFonts w:hint="eastAsia" w:ascii="宋体" w:hAnsi="宋体" w:cs="宋体"/>
                <w:color w:val="auto"/>
                <w:spacing w:val="10"/>
                <w:sz w:val="24"/>
              </w:rPr>
              <w:t>名称</w:t>
            </w:r>
          </w:p>
        </w:tc>
        <w:tc>
          <w:tcPr>
            <w:tcW w:w="4980" w:type="dxa"/>
            <w:gridSpan w:val="2"/>
            <w:tcBorders>
              <w:top w:val="single" w:color="auto" w:sz="4" w:space="0"/>
              <w:left w:val="nil"/>
              <w:right w:val="single" w:color="auto" w:sz="4" w:space="0"/>
            </w:tcBorders>
            <w:noWrap w:val="0"/>
            <w:vAlign w:val="center"/>
          </w:tcPr>
          <w:p w14:paraId="4BA10D4E">
            <w:pPr>
              <w:autoSpaceDE w:val="0"/>
              <w:autoSpaceDN w:val="0"/>
              <w:adjustRightInd w:val="0"/>
              <w:spacing w:line="360" w:lineRule="auto"/>
              <w:jc w:val="center"/>
              <w:rPr>
                <w:rFonts w:hint="eastAsia" w:ascii="宋体" w:hAnsi="宋体" w:cs="宋体"/>
                <w:color w:val="auto"/>
                <w:spacing w:val="10"/>
                <w:sz w:val="24"/>
              </w:rPr>
            </w:pPr>
            <w:r>
              <w:rPr>
                <w:rFonts w:hint="eastAsia" w:ascii="宋体" w:hAnsi="宋体" w:cs="宋体"/>
                <w:color w:val="auto"/>
                <w:spacing w:val="10"/>
                <w:sz w:val="24"/>
              </w:rPr>
              <w:t>投标产品</w:t>
            </w:r>
          </w:p>
        </w:tc>
        <w:tc>
          <w:tcPr>
            <w:tcW w:w="780" w:type="dxa"/>
            <w:vMerge w:val="restart"/>
            <w:tcBorders>
              <w:top w:val="single" w:color="auto" w:sz="4" w:space="0"/>
              <w:left w:val="nil"/>
              <w:bottom w:val="single" w:color="auto" w:sz="4" w:space="0"/>
              <w:right w:val="single" w:color="auto" w:sz="4" w:space="0"/>
            </w:tcBorders>
            <w:noWrap w:val="0"/>
            <w:vAlign w:val="center"/>
          </w:tcPr>
          <w:p w14:paraId="4A4DB66B">
            <w:pPr>
              <w:autoSpaceDE w:val="0"/>
              <w:autoSpaceDN w:val="0"/>
              <w:adjustRightInd w:val="0"/>
              <w:spacing w:line="360" w:lineRule="auto"/>
              <w:rPr>
                <w:rFonts w:hint="eastAsia" w:ascii="宋体" w:hAnsi="宋体" w:cs="宋体"/>
                <w:color w:val="auto"/>
                <w:spacing w:val="10"/>
                <w:sz w:val="24"/>
              </w:rPr>
            </w:pPr>
            <w:r>
              <w:rPr>
                <w:rFonts w:hint="eastAsia" w:ascii="宋体" w:hAnsi="宋体" w:cs="宋体"/>
                <w:color w:val="auto"/>
                <w:spacing w:val="10"/>
                <w:sz w:val="24"/>
              </w:rPr>
              <w:t>偏差描述</w:t>
            </w:r>
          </w:p>
        </w:tc>
        <w:tc>
          <w:tcPr>
            <w:tcW w:w="686" w:type="dxa"/>
            <w:vMerge w:val="restart"/>
            <w:tcBorders>
              <w:top w:val="single" w:color="auto" w:sz="4" w:space="0"/>
              <w:left w:val="nil"/>
              <w:bottom w:val="single" w:color="auto" w:sz="4" w:space="0"/>
              <w:right w:val="single" w:color="auto" w:sz="4" w:space="0"/>
            </w:tcBorders>
            <w:noWrap w:val="0"/>
            <w:vAlign w:val="center"/>
          </w:tcPr>
          <w:p w14:paraId="20AA9A26">
            <w:pPr>
              <w:autoSpaceDE w:val="0"/>
              <w:autoSpaceDN w:val="0"/>
              <w:adjustRightInd w:val="0"/>
              <w:spacing w:line="360" w:lineRule="auto"/>
              <w:rPr>
                <w:rFonts w:hint="eastAsia" w:ascii="宋体" w:hAnsi="宋体" w:cs="宋体"/>
                <w:color w:val="auto"/>
                <w:spacing w:val="10"/>
                <w:sz w:val="24"/>
              </w:rPr>
            </w:pPr>
            <w:r>
              <w:rPr>
                <w:rFonts w:hint="eastAsia" w:ascii="宋体" w:hAnsi="宋体" w:cs="宋体"/>
                <w:color w:val="auto"/>
                <w:spacing w:val="10"/>
                <w:sz w:val="24"/>
              </w:rPr>
              <w:t>结论</w:t>
            </w:r>
          </w:p>
        </w:tc>
      </w:tr>
      <w:tr w14:paraId="48D4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14:paraId="01CAE4F3">
            <w:pPr>
              <w:autoSpaceDE w:val="0"/>
              <w:autoSpaceDN w:val="0"/>
              <w:adjustRightInd w:val="0"/>
              <w:spacing w:line="360" w:lineRule="auto"/>
              <w:rPr>
                <w:rFonts w:hint="eastAsia" w:ascii="宋体" w:hAnsi="宋体" w:cs="宋体"/>
                <w:color w:val="auto"/>
                <w:spacing w:val="10"/>
                <w:sz w:val="24"/>
              </w:rPr>
            </w:pPr>
          </w:p>
        </w:tc>
        <w:tc>
          <w:tcPr>
            <w:tcW w:w="1366" w:type="dxa"/>
            <w:vMerge w:val="continue"/>
            <w:tcBorders>
              <w:top w:val="single" w:color="auto" w:sz="4" w:space="0"/>
              <w:left w:val="nil"/>
              <w:bottom w:val="single" w:color="auto" w:sz="4" w:space="0"/>
              <w:right w:val="single" w:color="auto" w:sz="4" w:space="0"/>
            </w:tcBorders>
            <w:noWrap w:val="0"/>
            <w:vAlign w:val="center"/>
          </w:tcPr>
          <w:p w14:paraId="099A6421">
            <w:pPr>
              <w:autoSpaceDE w:val="0"/>
              <w:autoSpaceDN w:val="0"/>
              <w:adjustRightInd w:val="0"/>
              <w:spacing w:line="360" w:lineRule="auto"/>
              <w:rPr>
                <w:rFonts w:hint="eastAsia" w:ascii="宋体" w:hAnsi="宋体" w:cs="宋体"/>
                <w:color w:val="auto"/>
                <w:spacing w:val="10"/>
                <w:sz w:val="24"/>
              </w:rPr>
            </w:pPr>
          </w:p>
        </w:tc>
        <w:tc>
          <w:tcPr>
            <w:tcW w:w="2355" w:type="dxa"/>
            <w:tcBorders>
              <w:left w:val="nil"/>
              <w:bottom w:val="single" w:color="auto" w:sz="4" w:space="0"/>
              <w:right w:val="single" w:color="auto" w:sz="4" w:space="0"/>
            </w:tcBorders>
            <w:noWrap w:val="0"/>
            <w:vAlign w:val="center"/>
          </w:tcPr>
          <w:p w14:paraId="5542DF3B">
            <w:pPr>
              <w:autoSpaceDE w:val="0"/>
              <w:autoSpaceDN w:val="0"/>
              <w:adjustRightInd w:val="0"/>
              <w:spacing w:line="360" w:lineRule="auto"/>
              <w:jc w:val="center"/>
              <w:rPr>
                <w:rFonts w:hint="eastAsia" w:ascii="宋体" w:hAnsi="宋体" w:cs="宋体"/>
                <w:color w:val="auto"/>
                <w:spacing w:val="10"/>
                <w:sz w:val="24"/>
              </w:rPr>
            </w:pPr>
            <w:r>
              <w:rPr>
                <w:rFonts w:hint="eastAsia" w:ascii="宋体" w:hAnsi="宋体" w:cs="宋体"/>
                <w:color w:val="auto"/>
                <w:spacing w:val="10"/>
                <w:sz w:val="24"/>
              </w:rPr>
              <w:t>招标文件要求的技术指标要求</w:t>
            </w:r>
          </w:p>
        </w:tc>
        <w:tc>
          <w:tcPr>
            <w:tcW w:w="2625" w:type="dxa"/>
            <w:tcBorders>
              <w:top w:val="single" w:color="auto" w:sz="4" w:space="0"/>
              <w:left w:val="nil"/>
              <w:bottom w:val="single" w:color="auto" w:sz="4" w:space="0"/>
              <w:right w:val="single" w:color="auto" w:sz="4" w:space="0"/>
            </w:tcBorders>
            <w:noWrap w:val="0"/>
            <w:vAlign w:val="center"/>
          </w:tcPr>
          <w:p w14:paraId="46BE6507">
            <w:pPr>
              <w:autoSpaceDE w:val="0"/>
              <w:autoSpaceDN w:val="0"/>
              <w:adjustRightInd w:val="0"/>
              <w:spacing w:line="360" w:lineRule="auto"/>
              <w:jc w:val="center"/>
              <w:rPr>
                <w:rFonts w:hint="eastAsia" w:ascii="宋体" w:hAnsi="宋体" w:cs="宋体"/>
                <w:color w:val="auto"/>
                <w:spacing w:val="10"/>
                <w:sz w:val="24"/>
              </w:rPr>
            </w:pPr>
            <w:r>
              <w:rPr>
                <w:rFonts w:hint="eastAsia" w:ascii="宋体" w:hAnsi="宋体" w:cs="宋体"/>
                <w:color w:val="auto"/>
                <w:spacing w:val="10"/>
                <w:sz w:val="24"/>
              </w:rPr>
              <w:t>投标文件技术性能指标和参数</w:t>
            </w:r>
          </w:p>
        </w:tc>
        <w:tc>
          <w:tcPr>
            <w:tcW w:w="780" w:type="dxa"/>
            <w:vMerge w:val="continue"/>
            <w:tcBorders>
              <w:top w:val="single" w:color="auto" w:sz="4" w:space="0"/>
              <w:left w:val="nil"/>
              <w:bottom w:val="single" w:color="auto" w:sz="4" w:space="0"/>
              <w:right w:val="single" w:color="auto" w:sz="4" w:space="0"/>
            </w:tcBorders>
            <w:noWrap w:val="0"/>
            <w:vAlign w:val="center"/>
          </w:tcPr>
          <w:p w14:paraId="646A91AF">
            <w:pPr>
              <w:autoSpaceDE w:val="0"/>
              <w:autoSpaceDN w:val="0"/>
              <w:adjustRightInd w:val="0"/>
              <w:spacing w:line="360" w:lineRule="auto"/>
              <w:rPr>
                <w:rFonts w:hint="eastAsia" w:ascii="宋体" w:hAnsi="宋体" w:cs="宋体"/>
                <w:color w:val="auto"/>
                <w:spacing w:val="10"/>
                <w:sz w:val="24"/>
              </w:rPr>
            </w:pPr>
          </w:p>
        </w:tc>
        <w:tc>
          <w:tcPr>
            <w:tcW w:w="686" w:type="dxa"/>
            <w:vMerge w:val="continue"/>
            <w:tcBorders>
              <w:top w:val="single" w:color="auto" w:sz="4" w:space="0"/>
              <w:left w:val="nil"/>
              <w:bottom w:val="single" w:color="auto" w:sz="4" w:space="0"/>
              <w:right w:val="single" w:color="auto" w:sz="4" w:space="0"/>
            </w:tcBorders>
            <w:noWrap w:val="0"/>
            <w:vAlign w:val="center"/>
          </w:tcPr>
          <w:p w14:paraId="28D83F4D">
            <w:pPr>
              <w:autoSpaceDE w:val="0"/>
              <w:autoSpaceDN w:val="0"/>
              <w:adjustRightInd w:val="0"/>
              <w:spacing w:line="360" w:lineRule="auto"/>
              <w:rPr>
                <w:rFonts w:hint="eastAsia" w:ascii="宋体" w:hAnsi="宋体" w:cs="宋体"/>
                <w:color w:val="auto"/>
                <w:spacing w:val="10"/>
                <w:sz w:val="24"/>
              </w:rPr>
            </w:pPr>
          </w:p>
        </w:tc>
      </w:tr>
      <w:tr w14:paraId="3F42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noWrap w:val="0"/>
            <w:vAlign w:val="top"/>
          </w:tcPr>
          <w:p w14:paraId="20C125F0">
            <w:pPr>
              <w:autoSpaceDE w:val="0"/>
              <w:autoSpaceDN w:val="0"/>
              <w:adjustRightInd w:val="0"/>
              <w:spacing w:line="360" w:lineRule="auto"/>
              <w:rPr>
                <w:rFonts w:hint="eastAsia" w:ascii="宋体" w:hAnsi="宋体" w:cs="宋体"/>
                <w:color w:val="auto"/>
                <w:spacing w:val="10"/>
                <w:sz w:val="24"/>
              </w:rPr>
            </w:pPr>
          </w:p>
        </w:tc>
        <w:tc>
          <w:tcPr>
            <w:tcW w:w="1366" w:type="dxa"/>
            <w:tcBorders>
              <w:top w:val="single" w:color="auto" w:sz="4" w:space="0"/>
              <w:left w:val="nil"/>
              <w:bottom w:val="single" w:color="auto" w:sz="4" w:space="0"/>
              <w:right w:val="single" w:color="auto" w:sz="4" w:space="0"/>
            </w:tcBorders>
            <w:noWrap w:val="0"/>
            <w:vAlign w:val="top"/>
          </w:tcPr>
          <w:p w14:paraId="1657891D">
            <w:pPr>
              <w:autoSpaceDE w:val="0"/>
              <w:autoSpaceDN w:val="0"/>
              <w:adjustRightInd w:val="0"/>
              <w:spacing w:line="360" w:lineRule="auto"/>
              <w:rPr>
                <w:rFonts w:hint="eastAsia" w:ascii="宋体" w:hAnsi="宋体" w:cs="宋体"/>
                <w:color w:val="auto"/>
                <w:spacing w:val="10"/>
                <w:sz w:val="24"/>
              </w:rPr>
            </w:pPr>
          </w:p>
        </w:tc>
        <w:tc>
          <w:tcPr>
            <w:tcW w:w="2355" w:type="dxa"/>
            <w:tcBorders>
              <w:top w:val="single" w:color="auto" w:sz="4" w:space="0"/>
              <w:left w:val="nil"/>
              <w:bottom w:val="single" w:color="auto" w:sz="4" w:space="0"/>
              <w:right w:val="single" w:color="auto" w:sz="4" w:space="0"/>
            </w:tcBorders>
            <w:noWrap w:val="0"/>
            <w:vAlign w:val="top"/>
          </w:tcPr>
          <w:p w14:paraId="40CD6E1E">
            <w:pPr>
              <w:autoSpaceDE w:val="0"/>
              <w:autoSpaceDN w:val="0"/>
              <w:adjustRightInd w:val="0"/>
              <w:spacing w:line="360" w:lineRule="auto"/>
              <w:rPr>
                <w:rFonts w:hint="eastAsia" w:ascii="宋体" w:hAnsi="宋体" w:cs="宋体"/>
                <w:color w:val="auto"/>
                <w:spacing w:val="10"/>
                <w:sz w:val="24"/>
              </w:rPr>
            </w:pPr>
          </w:p>
        </w:tc>
        <w:tc>
          <w:tcPr>
            <w:tcW w:w="2625" w:type="dxa"/>
            <w:tcBorders>
              <w:top w:val="single" w:color="auto" w:sz="4" w:space="0"/>
              <w:left w:val="nil"/>
              <w:bottom w:val="single" w:color="auto" w:sz="4" w:space="0"/>
              <w:right w:val="single" w:color="auto" w:sz="4" w:space="0"/>
            </w:tcBorders>
            <w:noWrap w:val="0"/>
            <w:vAlign w:val="top"/>
          </w:tcPr>
          <w:p w14:paraId="0DF0131E">
            <w:pPr>
              <w:autoSpaceDE w:val="0"/>
              <w:autoSpaceDN w:val="0"/>
              <w:adjustRightInd w:val="0"/>
              <w:spacing w:line="360" w:lineRule="auto"/>
              <w:rPr>
                <w:rFonts w:hint="eastAsia" w:ascii="宋体" w:hAnsi="宋体" w:cs="宋体"/>
                <w:color w:val="auto"/>
                <w:spacing w:val="10"/>
                <w:sz w:val="24"/>
              </w:rPr>
            </w:pPr>
          </w:p>
        </w:tc>
        <w:tc>
          <w:tcPr>
            <w:tcW w:w="780" w:type="dxa"/>
            <w:tcBorders>
              <w:top w:val="single" w:color="auto" w:sz="4" w:space="0"/>
              <w:left w:val="nil"/>
              <w:bottom w:val="single" w:color="auto" w:sz="4" w:space="0"/>
              <w:right w:val="single" w:color="auto" w:sz="4" w:space="0"/>
            </w:tcBorders>
            <w:noWrap w:val="0"/>
            <w:vAlign w:val="top"/>
          </w:tcPr>
          <w:p w14:paraId="746AD051">
            <w:pPr>
              <w:autoSpaceDE w:val="0"/>
              <w:autoSpaceDN w:val="0"/>
              <w:adjustRightInd w:val="0"/>
              <w:spacing w:line="360" w:lineRule="auto"/>
              <w:rPr>
                <w:rFonts w:hint="eastAsia" w:ascii="宋体" w:hAnsi="宋体" w:cs="宋体"/>
                <w:color w:val="auto"/>
                <w:spacing w:val="10"/>
                <w:sz w:val="24"/>
              </w:rPr>
            </w:pPr>
          </w:p>
        </w:tc>
        <w:tc>
          <w:tcPr>
            <w:tcW w:w="686" w:type="dxa"/>
            <w:tcBorders>
              <w:top w:val="single" w:color="auto" w:sz="4" w:space="0"/>
              <w:left w:val="nil"/>
              <w:bottom w:val="single" w:color="auto" w:sz="4" w:space="0"/>
              <w:right w:val="single" w:color="auto" w:sz="4" w:space="0"/>
            </w:tcBorders>
            <w:noWrap w:val="0"/>
            <w:vAlign w:val="top"/>
          </w:tcPr>
          <w:p w14:paraId="6EEDB628">
            <w:pPr>
              <w:autoSpaceDE w:val="0"/>
              <w:autoSpaceDN w:val="0"/>
              <w:adjustRightInd w:val="0"/>
              <w:spacing w:line="360" w:lineRule="auto"/>
              <w:rPr>
                <w:rFonts w:hint="eastAsia" w:ascii="宋体" w:hAnsi="宋体" w:cs="宋体"/>
                <w:color w:val="auto"/>
                <w:spacing w:val="10"/>
                <w:sz w:val="24"/>
              </w:rPr>
            </w:pPr>
          </w:p>
        </w:tc>
      </w:tr>
      <w:tr w14:paraId="62FB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noWrap w:val="0"/>
            <w:vAlign w:val="top"/>
          </w:tcPr>
          <w:p w14:paraId="53296C73">
            <w:pPr>
              <w:autoSpaceDE w:val="0"/>
              <w:autoSpaceDN w:val="0"/>
              <w:adjustRightInd w:val="0"/>
              <w:spacing w:line="360" w:lineRule="auto"/>
              <w:rPr>
                <w:rFonts w:hint="eastAsia" w:ascii="宋体" w:hAnsi="宋体" w:cs="宋体"/>
                <w:color w:val="auto"/>
                <w:spacing w:val="10"/>
                <w:sz w:val="24"/>
              </w:rPr>
            </w:pPr>
          </w:p>
        </w:tc>
        <w:tc>
          <w:tcPr>
            <w:tcW w:w="1366" w:type="dxa"/>
            <w:tcBorders>
              <w:top w:val="single" w:color="auto" w:sz="4" w:space="0"/>
              <w:left w:val="nil"/>
              <w:bottom w:val="single" w:color="auto" w:sz="4" w:space="0"/>
              <w:right w:val="single" w:color="auto" w:sz="4" w:space="0"/>
            </w:tcBorders>
            <w:noWrap w:val="0"/>
            <w:vAlign w:val="top"/>
          </w:tcPr>
          <w:p w14:paraId="0593C2E9">
            <w:pPr>
              <w:autoSpaceDE w:val="0"/>
              <w:autoSpaceDN w:val="0"/>
              <w:adjustRightInd w:val="0"/>
              <w:spacing w:line="360" w:lineRule="auto"/>
              <w:rPr>
                <w:rFonts w:hint="eastAsia" w:ascii="宋体" w:hAnsi="宋体" w:cs="宋体"/>
                <w:color w:val="auto"/>
                <w:spacing w:val="10"/>
                <w:sz w:val="24"/>
              </w:rPr>
            </w:pPr>
          </w:p>
        </w:tc>
        <w:tc>
          <w:tcPr>
            <w:tcW w:w="2355" w:type="dxa"/>
            <w:tcBorders>
              <w:top w:val="single" w:color="auto" w:sz="4" w:space="0"/>
              <w:left w:val="nil"/>
              <w:bottom w:val="single" w:color="auto" w:sz="4" w:space="0"/>
              <w:right w:val="single" w:color="auto" w:sz="4" w:space="0"/>
            </w:tcBorders>
            <w:noWrap w:val="0"/>
            <w:vAlign w:val="top"/>
          </w:tcPr>
          <w:p w14:paraId="724C7EA0">
            <w:pPr>
              <w:autoSpaceDE w:val="0"/>
              <w:autoSpaceDN w:val="0"/>
              <w:adjustRightInd w:val="0"/>
              <w:spacing w:line="360" w:lineRule="auto"/>
              <w:rPr>
                <w:rFonts w:hint="eastAsia" w:ascii="宋体" w:hAnsi="宋体" w:cs="宋体"/>
                <w:color w:val="auto"/>
                <w:spacing w:val="10"/>
                <w:sz w:val="24"/>
              </w:rPr>
            </w:pPr>
          </w:p>
        </w:tc>
        <w:tc>
          <w:tcPr>
            <w:tcW w:w="2625" w:type="dxa"/>
            <w:tcBorders>
              <w:top w:val="single" w:color="auto" w:sz="4" w:space="0"/>
              <w:left w:val="nil"/>
              <w:bottom w:val="single" w:color="auto" w:sz="4" w:space="0"/>
              <w:right w:val="single" w:color="auto" w:sz="4" w:space="0"/>
            </w:tcBorders>
            <w:noWrap w:val="0"/>
            <w:vAlign w:val="top"/>
          </w:tcPr>
          <w:p w14:paraId="24CC7F97">
            <w:pPr>
              <w:autoSpaceDE w:val="0"/>
              <w:autoSpaceDN w:val="0"/>
              <w:adjustRightInd w:val="0"/>
              <w:spacing w:line="360" w:lineRule="auto"/>
              <w:rPr>
                <w:rFonts w:hint="eastAsia" w:ascii="宋体" w:hAnsi="宋体" w:cs="宋体"/>
                <w:color w:val="auto"/>
                <w:spacing w:val="10"/>
                <w:sz w:val="24"/>
              </w:rPr>
            </w:pPr>
          </w:p>
        </w:tc>
        <w:tc>
          <w:tcPr>
            <w:tcW w:w="780" w:type="dxa"/>
            <w:tcBorders>
              <w:top w:val="single" w:color="auto" w:sz="4" w:space="0"/>
              <w:left w:val="nil"/>
              <w:bottom w:val="single" w:color="auto" w:sz="4" w:space="0"/>
              <w:right w:val="single" w:color="auto" w:sz="4" w:space="0"/>
            </w:tcBorders>
            <w:noWrap w:val="0"/>
            <w:vAlign w:val="top"/>
          </w:tcPr>
          <w:p w14:paraId="16EA0C3E">
            <w:pPr>
              <w:autoSpaceDE w:val="0"/>
              <w:autoSpaceDN w:val="0"/>
              <w:adjustRightInd w:val="0"/>
              <w:spacing w:line="360" w:lineRule="auto"/>
              <w:rPr>
                <w:rFonts w:hint="eastAsia" w:ascii="宋体" w:hAnsi="宋体" w:cs="宋体"/>
                <w:color w:val="auto"/>
                <w:spacing w:val="10"/>
                <w:sz w:val="24"/>
              </w:rPr>
            </w:pPr>
          </w:p>
        </w:tc>
        <w:tc>
          <w:tcPr>
            <w:tcW w:w="686" w:type="dxa"/>
            <w:tcBorders>
              <w:top w:val="single" w:color="auto" w:sz="4" w:space="0"/>
              <w:left w:val="nil"/>
              <w:bottom w:val="single" w:color="auto" w:sz="4" w:space="0"/>
              <w:right w:val="single" w:color="auto" w:sz="4" w:space="0"/>
            </w:tcBorders>
            <w:noWrap w:val="0"/>
            <w:vAlign w:val="top"/>
          </w:tcPr>
          <w:p w14:paraId="4E551E09">
            <w:pPr>
              <w:autoSpaceDE w:val="0"/>
              <w:autoSpaceDN w:val="0"/>
              <w:adjustRightInd w:val="0"/>
              <w:spacing w:line="360" w:lineRule="auto"/>
              <w:rPr>
                <w:rFonts w:hint="eastAsia" w:ascii="宋体" w:hAnsi="宋体" w:cs="宋体"/>
                <w:color w:val="auto"/>
                <w:spacing w:val="10"/>
                <w:sz w:val="24"/>
              </w:rPr>
            </w:pPr>
          </w:p>
        </w:tc>
      </w:tr>
      <w:tr w14:paraId="79AA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noWrap w:val="0"/>
            <w:vAlign w:val="top"/>
          </w:tcPr>
          <w:p w14:paraId="49917589">
            <w:pPr>
              <w:autoSpaceDE w:val="0"/>
              <w:autoSpaceDN w:val="0"/>
              <w:adjustRightInd w:val="0"/>
              <w:spacing w:line="360" w:lineRule="auto"/>
              <w:rPr>
                <w:rFonts w:hint="eastAsia" w:ascii="宋体" w:hAnsi="宋体" w:cs="宋体"/>
                <w:color w:val="auto"/>
                <w:spacing w:val="10"/>
                <w:sz w:val="24"/>
              </w:rPr>
            </w:pPr>
          </w:p>
        </w:tc>
        <w:tc>
          <w:tcPr>
            <w:tcW w:w="1366" w:type="dxa"/>
            <w:tcBorders>
              <w:top w:val="single" w:color="auto" w:sz="4" w:space="0"/>
              <w:left w:val="nil"/>
              <w:bottom w:val="single" w:color="auto" w:sz="4" w:space="0"/>
              <w:right w:val="single" w:color="auto" w:sz="4" w:space="0"/>
            </w:tcBorders>
            <w:noWrap w:val="0"/>
            <w:vAlign w:val="top"/>
          </w:tcPr>
          <w:p w14:paraId="54C8518E">
            <w:pPr>
              <w:autoSpaceDE w:val="0"/>
              <w:autoSpaceDN w:val="0"/>
              <w:adjustRightInd w:val="0"/>
              <w:spacing w:line="360" w:lineRule="auto"/>
              <w:rPr>
                <w:rFonts w:hint="eastAsia" w:ascii="宋体" w:hAnsi="宋体" w:cs="宋体"/>
                <w:color w:val="auto"/>
                <w:spacing w:val="10"/>
                <w:sz w:val="24"/>
              </w:rPr>
            </w:pPr>
          </w:p>
        </w:tc>
        <w:tc>
          <w:tcPr>
            <w:tcW w:w="2355" w:type="dxa"/>
            <w:tcBorders>
              <w:top w:val="single" w:color="auto" w:sz="4" w:space="0"/>
              <w:left w:val="nil"/>
              <w:bottom w:val="single" w:color="auto" w:sz="4" w:space="0"/>
              <w:right w:val="single" w:color="auto" w:sz="4" w:space="0"/>
            </w:tcBorders>
            <w:noWrap w:val="0"/>
            <w:vAlign w:val="top"/>
          </w:tcPr>
          <w:p w14:paraId="14098DC5">
            <w:pPr>
              <w:autoSpaceDE w:val="0"/>
              <w:autoSpaceDN w:val="0"/>
              <w:adjustRightInd w:val="0"/>
              <w:spacing w:line="360" w:lineRule="auto"/>
              <w:rPr>
                <w:rFonts w:hint="eastAsia" w:ascii="宋体" w:hAnsi="宋体" w:cs="宋体"/>
                <w:color w:val="auto"/>
                <w:spacing w:val="10"/>
                <w:sz w:val="24"/>
              </w:rPr>
            </w:pPr>
          </w:p>
        </w:tc>
        <w:tc>
          <w:tcPr>
            <w:tcW w:w="2625" w:type="dxa"/>
            <w:tcBorders>
              <w:top w:val="single" w:color="auto" w:sz="4" w:space="0"/>
              <w:left w:val="nil"/>
              <w:bottom w:val="single" w:color="auto" w:sz="4" w:space="0"/>
              <w:right w:val="single" w:color="auto" w:sz="4" w:space="0"/>
            </w:tcBorders>
            <w:noWrap w:val="0"/>
            <w:vAlign w:val="top"/>
          </w:tcPr>
          <w:p w14:paraId="7E9FED0D">
            <w:pPr>
              <w:autoSpaceDE w:val="0"/>
              <w:autoSpaceDN w:val="0"/>
              <w:adjustRightInd w:val="0"/>
              <w:spacing w:line="360" w:lineRule="auto"/>
              <w:rPr>
                <w:rFonts w:hint="eastAsia" w:ascii="宋体" w:hAnsi="宋体" w:cs="宋体"/>
                <w:color w:val="auto"/>
                <w:spacing w:val="10"/>
                <w:sz w:val="24"/>
              </w:rPr>
            </w:pPr>
          </w:p>
        </w:tc>
        <w:tc>
          <w:tcPr>
            <w:tcW w:w="780" w:type="dxa"/>
            <w:tcBorders>
              <w:top w:val="single" w:color="auto" w:sz="4" w:space="0"/>
              <w:left w:val="nil"/>
              <w:bottom w:val="single" w:color="auto" w:sz="4" w:space="0"/>
              <w:right w:val="single" w:color="auto" w:sz="4" w:space="0"/>
            </w:tcBorders>
            <w:noWrap w:val="0"/>
            <w:vAlign w:val="top"/>
          </w:tcPr>
          <w:p w14:paraId="2698C23F">
            <w:pPr>
              <w:autoSpaceDE w:val="0"/>
              <w:autoSpaceDN w:val="0"/>
              <w:adjustRightInd w:val="0"/>
              <w:spacing w:line="360" w:lineRule="auto"/>
              <w:rPr>
                <w:rFonts w:hint="eastAsia" w:ascii="宋体" w:hAnsi="宋体" w:cs="宋体"/>
                <w:color w:val="auto"/>
                <w:spacing w:val="10"/>
                <w:sz w:val="24"/>
              </w:rPr>
            </w:pPr>
          </w:p>
        </w:tc>
        <w:tc>
          <w:tcPr>
            <w:tcW w:w="686" w:type="dxa"/>
            <w:tcBorders>
              <w:top w:val="single" w:color="auto" w:sz="4" w:space="0"/>
              <w:left w:val="nil"/>
              <w:bottom w:val="single" w:color="auto" w:sz="4" w:space="0"/>
              <w:right w:val="single" w:color="auto" w:sz="4" w:space="0"/>
            </w:tcBorders>
            <w:noWrap w:val="0"/>
            <w:vAlign w:val="top"/>
          </w:tcPr>
          <w:p w14:paraId="5ACF3235">
            <w:pPr>
              <w:autoSpaceDE w:val="0"/>
              <w:autoSpaceDN w:val="0"/>
              <w:adjustRightInd w:val="0"/>
              <w:spacing w:line="360" w:lineRule="auto"/>
              <w:rPr>
                <w:rFonts w:hint="eastAsia" w:ascii="宋体" w:hAnsi="宋体" w:cs="宋体"/>
                <w:color w:val="auto"/>
                <w:spacing w:val="10"/>
                <w:sz w:val="24"/>
              </w:rPr>
            </w:pPr>
          </w:p>
        </w:tc>
      </w:tr>
      <w:tr w14:paraId="581B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noWrap w:val="0"/>
            <w:vAlign w:val="top"/>
          </w:tcPr>
          <w:p w14:paraId="1BD62F65">
            <w:pPr>
              <w:autoSpaceDE w:val="0"/>
              <w:autoSpaceDN w:val="0"/>
              <w:adjustRightInd w:val="0"/>
              <w:spacing w:line="360" w:lineRule="auto"/>
              <w:rPr>
                <w:rFonts w:hint="eastAsia" w:ascii="宋体" w:hAnsi="宋体" w:cs="宋体"/>
                <w:color w:val="auto"/>
                <w:spacing w:val="10"/>
                <w:sz w:val="24"/>
              </w:rPr>
            </w:pPr>
          </w:p>
        </w:tc>
        <w:tc>
          <w:tcPr>
            <w:tcW w:w="1366" w:type="dxa"/>
            <w:tcBorders>
              <w:top w:val="single" w:color="auto" w:sz="4" w:space="0"/>
              <w:left w:val="nil"/>
              <w:bottom w:val="single" w:color="auto" w:sz="4" w:space="0"/>
              <w:right w:val="single" w:color="auto" w:sz="4" w:space="0"/>
            </w:tcBorders>
            <w:noWrap w:val="0"/>
            <w:vAlign w:val="top"/>
          </w:tcPr>
          <w:p w14:paraId="56E9268C">
            <w:pPr>
              <w:autoSpaceDE w:val="0"/>
              <w:autoSpaceDN w:val="0"/>
              <w:adjustRightInd w:val="0"/>
              <w:spacing w:line="360" w:lineRule="auto"/>
              <w:rPr>
                <w:rFonts w:hint="eastAsia" w:ascii="宋体" w:hAnsi="宋体" w:cs="宋体"/>
                <w:color w:val="auto"/>
                <w:spacing w:val="10"/>
                <w:sz w:val="24"/>
              </w:rPr>
            </w:pPr>
          </w:p>
        </w:tc>
        <w:tc>
          <w:tcPr>
            <w:tcW w:w="2355" w:type="dxa"/>
            <w:tcBorders>
              <w:top w:val="single" w:color="auto" w:sz="4" w:space="0"/>
              <w:left w:val="nil"/>
              <w:bottom w:val="single" w:color="auto" w:sz="4" w:space="0"/>
              <w:right w:val="single" w:color="auto" w:sz="4" w:space="0"/>
            </w:tcBorders>
            <w:noWrap w:val="0"/>
            <w:vAlign w:val="top"/>
          </w:tcPr>
          <w:p w14:paraId="032A1761">
            <w:pPr>
              <w:autoSpaceDE w:val="0"/>
              <w:autoSpaceDN w:val="0"/>
              <w:adjustRightInd w:val="0"/>
              <w:spacing w:line="360" w:lineRule="auto"/>
              <w:rPr>
                <w:rFonts w:hint="eastAsia" w:ascii="宋体" w:hAnsi="宋体" w:cs="宋体"/>
                <w:color w:val="auto"/>
                <w:spacing w:val="10"/>
                <w:sz w:val="24"/>
              </w:rPr>
            </w:pPr>
          </w:p>
        </w:tc>
        <w:tc>
          <w:tcPr>
            <w:tcW w:w="2625" w:type="dxa"/>
            <w:tcBorders>
              <w:top w:val="single" w:color="auto" w:sz="4" w:space="0"/>
              <w:left w:val="nil"/>
              <w:bottom w:val="single" w:color="auto" w:sz="4" w:space="0"/>
              <w:right w:val="single" w:color="auto" w:sz="4" w:space="0"/>
            </w:tcBorders>
            <w:noWrap w:val="0"/>
            <w:vAlign w:val="top"/>
          </w:tcPr>
          <w:p w14:paraId="3EE1FDC5">
            <w:pPr>
              <w:autoSpaceDE w:val="0"/>
              <w:autoSpaceDN w:val="0"/>
              <w:adjustRightInd w:val="0"/>
              <w:spacing w:line="360" w:lineRule="auto"/>
              <w:rPr>
                <w:rFonts w:hint="eastAsia" w:ascii="宋体" w:hAnsi="宋体" w:cs="宋体"/>
                <w:color w:val="auto"/>
                <w:spacing w:val="10"/>
                <w:sz w:val="24"/>
              </w:rPr>
            </w:pPr>
          </w:p>
        </w:tc>
        <w:tc>
          <w:tcPr>
            <w:tcW w:w="780" w:type="dxa"/>
            <w:tcBorders>
              <w:top w:val="single" w:color="auto" w:sz="4" w:space="0"/>
              <w:left w:val="nil"/>
              <w:bottom w:val="single" w:color="auto" w:sz="4" w:space="0"/>
              <w:right w:val="single" w:color="auto" w:sz="4" w:space="0"/>
            </w:tcBorders>
            <w:noWrap w:val="0"/>
            <w:vAlign w:val="top"/>
          </w:tcPr>
          <w:p w14:paraId="09C7E9FB">
            <w:pPr>
              <w:autoSpaceDE w:val="0"/>
              <w:autoSpaceDN w:val="0"/>
              <w:adjustRightInd w:val="0"/>
              <w:spacing w:line="360" w:lineRule="auto"/>
              <w:rPr>
                <w:rFonts w:hint="eastAsia" w:ascii="宋体" w:hAnsi="宋体" w:cs="宋体"/>
                <w:color w:val="auto"/>
                <w:spacing w:val="10"/>
                <w:sz w:val="24"/>
              </w:rPr>
            </w:pPr>
          </w:p>
        </w:tc>
        <w:tc>
          <w:tcPr>
            <w:tcW w:w="686" w:type="dxa"/>
            <w:tcBorders>
              <w:top w:val="single" w:color="auto" w:sz="4" w:space="0"/>
              <w:left w:val="nil"/>
              <w:bottom w:val="single" w:color="auto" w:sz="4" w:space="0"/>
              <w:right w:val="single" w:color="auto" w:sz="4" w:space="0"/>
            </w:tcBorders>
            <w:noWrap w:val="0"/>
            <w:vAlign w:val="top"/>
          </w:tcPr>
          <w:p w14:paraId="35A6FD90">
            <w:pPr>
              <w:autoSpaceDE w:val="0"/>
              <w:autoSpaceDN w:val="0"/>
              <w:adjustRightInd w:val="0"/>
              <w:spacing w:line="360" w:lineRule="auto"/>
              <w:rPr>
                <w:rFonts w:hint="eastAsia" w:ascii="宋体" w:hAnsi="宋体" w:cs="宋体"/>
                <w:color w:val="auto"/>
                <w:spacing w:val="10"/>
                <w:sz w:val="24"/>
              </w:rPr>
            </w:pPr>
          </w:p>
        </w:tc>
      </w:tr>
      <w:tr w14:paraId="261A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noWrap w:val="0"/>
            <w:vAlign w:val="top"/>
          </w:tcPr>
          <w:p w14:paraId="6546EAC2">
            <w:pPr>
              <w:autoSpaceDE w:val="0"/>
              <w:autoSpaceDN w:val="0"/>
              <w:adjustRightInd w:val="0"/>
              <w:spacing w:line="360" w:lineRule="auto"/>
              <w:rPr>
                <w:rFonts w:hint="eastAsia" w:ascii="宋体" w:hAnsi="宋体" w:cs="宋体"/>
                <w:color w:val="auto"/>
                <w:spacing w:val="10"/>
                <w:sz w:val="24"/>
              </w:rPr>
            </w:pPr>
          </w:p>
        </w:tc>
        <w:tc>
          <w:tcPr>
            <w:tcW w:w="1366" w:type="dxa"/>
            <w:tcBorders>
              <w:top w:val="single" w:color="auto" w:sz="4" w:space="0"/>
              <w:left w:val="nil"/>
              <w:bottom w:val="single" w:color="auto" w:sz="4" w:space="0"/>
              <w:right w:val="single" w:color="auto" w:sz="4" w:space="0"/>
            </w:tcBorders>
            <w:noWrap w:val="0"/>
            <w:vAlign w:val="top"/>
          </w:tcPr>
          <w:p w14:paraId="0484A6D1">
            <w:pPr>
              <w:autoSpaceDE w:val="0"/>
              <w:autoSpaceDN w:val="0"/>
              <w:adjustRightInd w:val="0"/>
              <w:spacing w:line="360" w:lineRule="auto"/>
              <w:rPr>
                <w:rFonts w:hint="eastAsia" w:ascii="宋体" w:hAnsi="宋体" w:cs="宋体"/>
                <w:color w:val="auto"/>
                <w:spacing w:val="10"/>
                <w:sz w:val="24"/>
              </w:rPr>
            </w:pPr>
          </w:p>
        </w:tc>
        <w:tc>
          <w:tcPr>
            <w:tcW w:w="2355" w:type="dxa"/>
            <w:tcBorders>
              <w:top w:val="single" w:color="auto" w:sz="4" w:space="0"/>
              <w:left w:val="nil"/>
              <w:bottom w:val="single" w:color="auto" w:sz="4" w:space="0"/>
              <w:right w:val="single" w:color="auto" w:sz="4" w:space="0"/>
            </w:tcBorders>
            <w:noWrap w:val="0"/>
            <w:vAlign w:val="top"/>
          </w:tcPr>
          <w:p w14:paraId="1D9B4CA8">
            <w:pPr>
              <w:autoSpaceDE w:val="0"/>
              <w:autoSpaceDN w:val="0"/>
              <w:adjustRightInd w:val="0"/>
              <w:spacing w:line="360" w:lineRule="auto"/>
              <w:rPr>
                <w:rFonts w:hint="eastAsia" w:ascii="宋体" w:hAnsi="宋体" w:cs="宋体"/>
                <w:color w:val="auto"/>
                <w:spacing w:val="10"/>
                <w:sz w:val="24"/>
              </w:rPr>
            </w:pPr>
          </w:p>
        </w:tc>
        <w:tc>
          <w:tcPr>
            <w:tcW w:w="2625" w:type="dxa"/>
            <w:tcBorders>
              <w:top w:val="single" w:color="auto" w:sz="4" w:space="0"/>
              <w:left w:val="nil"/>
              <w:bottom w:val="single" w:color="auto" w:sz="4" w:space="0"/>
              <w:right w:val="single" w:color="auto" w:sz="4" w:space="0"/>
            </w:tcBorders>
            <w:noWrap w:val="0"/>
            <w:vAlign w:val="top"/>
          </w:tcPr>
          <w:p w14:paraId="7866573D">
            <w:pPr>
              <w:autoSpaceDE w:val="0"/>
              <w:autoSpaceDN w:val="0"/>
              <w:adjustRightInd w:val="0"/>
              <w:spacing w:line="360" w:lineRule="auto"/>
              <w:rPr>
                <w:rFonts w:hint="eastAsia" w:ascii="宋体" w:hAnsi="宋体" w:cs="宋体"/>
                <w:color w:val="auto"/>
                <w:spacing w:val="10"/>
                <w:sz w:val="24"/>
              </w:rPr>
            </w:pPr>
          </w:p>
        </w:tc>
        <w:tc>
          <w:tcPr>
            <w:tcW w:w="780" w:type="dxa"/>
            <w:tcBorders>
              <w:top w:val="single" w:color="auto" w:sz="4" w:space="0"/>
              <w:left w:val="nil"/>
              <w:bottom w:val="single" w:color="auto" w:sz="4" w:space="0"/>
              <w:right w:val="single" w:color="auto" w:sz="4" w:space="0"/>
            </w:tcBorders>
            <w:noWrap w:val="0"/>
            <w:vAlign w:val="top"/>
          </w:tcPr>
          <w:p w14:paraId="6E3D18E0">
            <w:pPr>
              <w:autoSpaceDE w:val="0"/>
              <w:autoSpaceDN w:val="0"/>
              <w:adjustRightInd w:val="0"/>
              <w:spacing w:line="360" w:lineRule="auto"/>
              <w:rPr>
                <w:rFonts w:hint="eastAsia" w:ascii="宋体" w:hAnsi="宋体" w:cs="宋体"/>
                <w:color w:val="auto"/>
                <w:spacing w:val="10"/>
                <w:sz w:val="24"/>
              </w:rPr>
            </w:pPr>
          </w:p>
        </w:tc>
        <w:tc>
          <w:tcPr>
            <w:tcW w:w="686" w:type="dxa"/>
            <w:tcBorders>
              <w:top w:val="single" w:color="auto" w:sz="4" w:space="0"/>
              <w:left w:val="nil"/>
              <w:bottom w:val="single" w:color="auto" w:sz="4" w:space="0"/>
              <w:right w:val="single" w:color="auto" w:sz="4" w:space="0"/>
            </w:tcBorders>
            <w:noWrap w:val="0"/>
            <w:vAlign w:val="top"/>
          </w:tcPr>
          <w:p w14:paraId="247CFE5C">
            <w:pPr>
              <w:autoSpaceDE w:val="0"/>
              <w:autoSpaceDN w:val="0"/>
              <w:adjustRightInd w:val="0"/>
              <w:spacing w:line="360" w:lineRule="auto"/>
              <w:rPr>
                <w:rFonts w:hint="eastAsia" w:ascii="宋体" w:hAnsi="宋体" w:cs="宋体"/>
                <w:color w:val="auto"/>
                <w:spacing w:val="10"/>
                <w:sz w:val="24"/>
              </w:rPr>
            </w:pPr>
          </w:p>
        </w:tc>
      </w:tr>
      <w:tr w14:paraId="00B1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noWrap w:val="0"/>
            <w:vAlign w:val="top"/>
          </w:tcPr>
          <w:p w14:paraId="439B5BD7">
            <w:pPr>
              <w:autoSpaceDE w:val="0"/>
              <w:autoSpaceDN w:val="0"/>
              <w:adjustRightInd w:val="0"/>
              <w:spacing w:line="360" w:lineRule="auto"/>
              <w:rPr>
                <w:rFonts w:hint="eastAsia" w:ascii="宋体" w:hAnsi="宋体" w:cs="宋体"/>
                <w:color w:val="auto"/>
                <w:spacing w:val="10"/>
                <w:sz w:val="24"/>
              </w:rPr>
            </w:pPr>
          </w:p>
        </w:tc>
        <w:tc>
          <w:tcPr>
            <w:tcW w:w="1366" w:type="dxa"/>
            <w:tcBorders>
              <w:top w:val="single" w:color="auto" w:sz="4" w:space="0"/>
              <w:left w:val="nil"/>
              <w:bottom w:val="single" w:color="auto" w:sz="4" w:space="0"/>
              <w:right w:val="single" w:color="auto" w:sz="4" w:space="0"/>
            </w:tcBorders>
            <w:noWrap w:val="0"/>
            <w:vAlign w:val="top"/>
          </w:tcPr>
          <w:p w14:paraId="27830B19">
            <w:pPr>
              <w:autoSpaceDE w:val="0"/>
              <w:autoSpaceDN w:val="0"/>
              <w:adjustRightInd w:val="0"/>
              <w:spacing w:line="360" w:lineRule="auto"/>
              <w:rPr>
                <w:rFonts w:hint="eastAsia" w:ascii="宋体" w:hAnsi="宋体" w:cs="宋体"/>
                <w:color w:val="auto"/>
                <w:spacing w:val="10"/>
                <w:sz w:val="24"/>
              </w:rPr>
            </w:pPr>
          </w:p>
        </w:tc>
        <w:tc>
          <w:tcPr>
            <w:tcW w:w="2355" w:type="dxa"/>
            <w:tcBorders>
              <w:top w:val="single" w:color="auto" w:sz="4" w:space="0"/>
              <w:left w:val="nil"/>
              <w:bottom w:val="single" w:color="auto" w:sz="4" w:space="0"/>
              <w:right w:val="single" w:color="auto" w:sz="4" w:space="0"/>
            </w:tcBorders>
            <w:noWrap w:val="0"/>
            <w:vAlign w:val="top"/>
          </w:tcPr>
          <w:p w14:paraId="0D6E54AC">
            <w:pPr>
              <w:autoSpaceDE w:val="0"/>
              <w:autoSpaceDN w:val="0"/>
              <w:adjustRightInd w:val="0"/>
              <w:spacing w:line="360" w:lineRule="auto"/>
              <w:rPr>
                <w:rFonts w:hint="eastAsia" w:ascii="宋体" w:hAnsi="宋体" w:cs="宋体"/>
                <w:color w:val="auto"/>
                <w:spacing w:val="10"/>
                <w:sz w:val="24"/>
              </w:rPr>
            </w:pPr>
          </w:p>
        </w:tc>
        <w:tc>
          <w:tcPr>
            <w:tcW w:w="2625" w:type="dxa"/>
            <w:tcBorders>
              <w:top w:val="single" w:color="auto" w:sz="4" w:space="0"/>
              <w:left w:val="nil"/>
              <w:bottom w:val="single" w:color="auto" w:sz="4" w:space="0"/>
              <w:right w:val="single" w:color="auto" w:sz="4" w:space="0"/>
            </w:tcBorders>
            <w:noWrap w:val="0"/>
            <w:vAlign w:val="top"/>
          </w:tcPr>
          <w:p w14:paraId="09E3B5B8">
            <w:pPr>
              <w:autoSpaceDE w:val="0"/>
              <w:autoSpaceDN w:val="0"/>
              <w:adjustRightInd w:val="0"/>
              <w:spacing w:line="360" w:lineRule="auto"/>
              <w:rPr>
                <w:rFonts w:hint="eastAsia" w:ascii="宋体" w:hAnsi="宋体" w:cs="宋体"/>
                <w:color w:val="auto"/>
                <w:spacing w:val="10"/>
                <w:sz w:val="24"/>
              </w:rPr>
            </w:pPr>
          </w:p>
        </w:tc>
        <w:tc>
          <w:tcPr>
            <w:tcW w:w="780" w:type="dxa"/>
            <w:tcBorders>
              <w:top w:val="single" w:color="auto" w:sz="4" w:space="0"/>
              <w:left w:val="nil"/>
              <w:bottom w:val="single" w:color="auto" w:sz="4" w:space="0"/>
              <w:right w:val="single" w:color="auto" w:sz="4" w:space="0"/>
            </w:tcBorders>
            <w:noWrap w:val="0"/>
            <w:vAlign w:val="top"/>
          </w:tcPr>
          <w:p w14:paraId="10803FEA">
            <w:pPr>
              <w:autoSpaceDE w:val="0"/>
              <w:autoSpaceDN w:val="0"/>
              <w:adjustRightInd w:val="0"/>
              <w:spacing w:line="360" w:lineRule="auto"/>
              <w:rPr>
                <w:rFonts w:hint="eastAsia" w:ascii="宋体" w:hAnsi="宋体" w:cs="宋体"/>
                <w:color w:val="auto"/>
                <w:spacing w:val="10"/>
                <w:sz w:val="24"/>
              </w:rPr>
            </w:pPr>
          </w:p>
        </w:tc>
        <w:tc>
          <w:tcPr>
            <w:tcW w:w="686" w:type="dxa"/>
            <w:tcBorders>
              <w:top w:val="single" w:color="auto" w:sz="4" w:space="0"/>
              <w:left w:val="nil"/>
              <w:bottom w:val="single" w:color="auto" w:sz="4" w:space="0"/>
              <w:right w:val="single" w:color="auto" w:sz="4" w:space="0"/>
            </w:tcBorders>
            <w:noWrap w:val="0"/>
            <w:vAlign w:val="top"/>
          </w:tcPr>
          <w:p w14:paraId="2B6AF16D">
            <w:pPr>
              <w:autoSpaceDE w:val="0"/>
              <w:autoSpaceDN w:val="0"/>
              <w:adjustRightInd w:val="0"/>
              <w:spacing w:line="360" w:lineRule="auto"/>
              <w:rPr>
                <w:rFonts w:hint="eastAsia" w:ascii="宋体" w:hAnsi="宋体" w:cs="宋体"/>
                <w:color w:val="auto"/>
                <w:spacing w:val="10"/>
                <w:sz w:val="24"/>
              </w:rPr>
            </w:pPr>
          </w:p>
        </w:tc>
      </w:tr>
    </w:tbl>
    <w:p w14:paraId="5694D306">
      <w:pPr>
        <w:autoSpaceDE w:val="0"/>
        <w:autoSpaceDN w:val="0"/>
        <w:adjustRightInd w:val="0"/>
        <w:spacing w:line="360" w:lineRule="auto"/>
        <w:rPr>
          <w:rFonts w:hint="eastAsia" w:ascii="宋体" w:hAnsi="宋体" w:cs="宋体"/>
          <w:color w:val="auto"/>
          <w:spacing w:val="10"/>
          <w:sz w:val="24"/>
        </w:rPr>
      </w:pPr>
    </w:p>
    <w:p w14:paraId="12C71549">
      <w:pPr>
        <w:autoSpaceDE w:val="0"/>
        <w:autoSpaceDN w:val="0"/>
        <w:adjustRightInd w:val="0"/>
        <w:spacing w:line="360" w:lineRule="auto"/>
        <w:rPr>
          <w:rFonts w:hint="eastAsia" w:ascii="宋体" w:hAnsi="宋体" w:cs="宋体"/>
          <w:color w:val="auto"/>
          <w:spacing w:val="10"/>
          <w:sz w:val="24"/>
          <w:lang w:val="zh-CN"/>
        </w:rPr>
      </w:pPr>
      <w:r>
        <w:rPr>
          <w:rFonts w:hint="eastAsia" w:ascii="宋体" w:hAnsi="宋体" w:cs="宋体"/>
          <w:color w:val="auto"/>
          <w:spacing w:val="10"/>
          <w:sz w:val="24"/>
          <w:lang w:val="zh-CN"/>
        </w:rPr>
        <w:t>注：供应商应按本表“列”的内容要求逐项认真填报，可根据需要自行增减表格行数。无偏差此表可不填列内容</w:t>
      </w:r>
    </w:p>
    <w:p w14:paraId="543E0AB1">
      <w:pPr>
        <w:spacing w:line="360" w:lineRule="auto"/>
        <w:jc w:val="left"/>
        <w:rPr>
          <w:rFonts w:hint="eastAsia" w:ascii="宋体" w:hAnsi="宋体" w:cs="宋体"/>
          <w:b/>
          <w:bCs/>
          <w:color w:val="auto"/>
          <w:kern w:val="0"/>
          <w:sz w:val="28"/>
          <w:szCs w:val="28"/>
        </w:rPr>
      </w:pPr>
      <w:r>
        <w:rPr>
          <w:rFonts w:hint="eastAsia" w:ascii="宋体" w:hAnsi="宋体" w:cs="宋体"/>
          <w:bCs/>
          <w:color w:val="auto"/>
          <w:kern w:val="0"/>
          <w:sz w:val="24"/>
          <w:szCs w:val="22"/>
          <w:lang w:val="zh-CN" w:bidi="zh-CN"/>
        </w:rPr>
        <w:t>（本项目所涉及的技术参数，供应商应提供相应的证明文件附后。证明文件可以是产品彩页、网页公告、检测报告或投标产品详细参数说明等资料）</w:t>
      </w:r>
    </w:p>
    <w:p w14:paraId="0EB2470B">
      <w:pPr>
        <w:rPr>
          <w:rFonts w:hint="eastAsia" w:ascii="宋体" w:hAnsi="宋体" w:cs="宋体"/>
          <w:color w:val="auto"/>
        </w:rPr>
      </w:pPr>
    </w:p>
    <w:p w14:paraId="107DEAC1">
      <w:pPr>
        <w:spacing w:line="480" w:lineRule="auto"/>
        <w:ind w:firstLine="4252" w:firstLineChars="1772"/>
        <w:rPr>
          <w:rFonts w:hint="eastAsia" w:ascii="宋体" w:hAnsi="宋体" w:cs="宋体"/>
          <w:bCs/>
          <w:color w:val="auto"/>
          <w:sz w:val="24"/>
        </w:rPr>
      </w:pPr>
      <w:r>
        <w:rPr>
          <w:rFonts w:hint="eastAsia" w:ascii="宋体" w:hAnsi="宋体" w:cs="宋体"/>
          <w:bCs/>
          <w:color w:val="auto"/>
          <w:sz w:val="24"/>
        </w:rPr>
        <w:t>供应商：（</w:t>
      </w:r>
      <w:r>
        <w:rPr>
          <w:rFonts w:hint="eastAsia" w:ascii="宋体" w:hAnsi="宋体" w:cs="宋体"/>
          <w:color w:val="auto"/>
          <w:sz w:val="24"/>
        </w:rPr>
        <w:t>盖单位公章</w:t>
      </w:r>
      <w:r>
        <w:rPr>
          <w:rFonts w:hint="eastAsia" w:ascii="宋体" w:hAnsi="宋体" w:cs="宋体"/>
          <w:bCs/>
          <w:color w:val="auto"/>
          <w:sz w:val="24"/>
        </w:rPr>
        <w:t>）</w:t>
      </w:r>
    </w:p>
    <w:p w14:paraId="5064F629">
      <w:pPr>
        <w:spacing w:line="480" w:lineRule="auto"/>
        <w:ind w:firstLine="4252" w:firstLineChars="1772"/>
        <w:rPr>
          <w:rFonts w:hint="eastAsia" w:ascii="宋体" w:hAnsi="宋体" w:cs="宋体"/>
          <w:bCs/>
          <w:color w:val="auto"/>
          <w:sz w:val="24"/>
        </w:rPr>
      </w:pPr>
      <w:r>
        <w:rPr>
          <w:rFonts w:hint="eastAsia" w:ascii="宋体" w:hAnsi="宋体" w:cs="宋体"/>
          <w:bCs/>
          <w:color w:val="auto"/>
          <w:sz w:val="24"/>
        </w:rPr>
        <w:t>法定代表人：（签章）</w:t>
      </w:r>
    </w:p>
    <w:p w14:paraId="3728F4B5">
      <w:pPr>
        <w:spacing w:line="480" w:lineRule="auto"/>
        <w:jc w:val="center"/>
        <w:rPr>
          <w:rFonts w:hint="eastAsia" w:ascii="宋体" w:hAnsi="宋体" w:cs="宋体"/>
          <w:color w:val="auto"/>
          <w:sz w:val="24"/>
        </w:rPr>
      </w:pPr>
      <w:r>
        <w:rPr>
          <w:rFonts w:hint="eastAsia" w:ascii="宋体" w:hAnsi="宋体" w:cs="宋体"/>
          <w:bCs/>
          <w:color w:val="auto"/>
          <w:sz w:val="24"/>
        </w:rPr>
        <w:t xml:space="preserve">                 日  期：</w:t>
      </w:r>
      <w:r>
        <w:rPr>
          <w:rFonts w:hint="eastAsia" w:ascii="宋体" w:hAnsi="宋体" w:cs="宋体"/>
          <w:color w:val="auto"/>
          <w:sz w:val="24"/>
        </w:rPr>
        <w:t>年   月   日</w:t>
      </w:r>
    </w:p>
    <w:p w14:paraId="11842F4B">
      <w:pPr>
        <w:spacing w:line="360" w:lineRule="auto"/>
        <w:jc w:val="center"/>
        <w:rPr>
          <w:rFonts w:hint="eastAsia" w:ascii="宋体" w:hAnsi="宋体" w:cs="宋体"/>
          <w:bCs/>
          <w:color w:val="auto"/>
          <w:sz w:val="24"/>
        </w:rPr>
      </w:pPr>
      <w:r>
        <w:rPr>
          <w:rFonts w:hint="eastAsia" w:ascii="宋体" w:hAnsi="宋体" w:cs="宋体"/>
          <w:color w:val="auto"/>
          <w:sz w:val="24"/>
        </w:rPr>
        <w:br w:type="page"/>
      </w:r>
    </w:p>
    <w:p w14:paraId="75D99CE0">
      <w:pPr>
        <w:pStyle w:val="2"/>
        <w:keepLines w:val="0"/>
        <w:widowControl/>
        <w:numPr>
          <w:ilvl w:val="0"/>
          <w:numId w:val="0"/>
        </w:numPr>
        <w:spacing w:before="0"/>
        <w:ind w:left="420"/>
        <w:jc w:val="center"/>
        <w:rPr>
          <w:rFonts w:hint="eastAsia" w:ascii="宋体" w:hAnsi="宋体" w:cs="宋体"/>
          <w:b w:val="0"/>
          <w:color w:val="auto"/>
          <w:szCs w:val="24"/>
        </w:rPr>
      </w:pPr>
      <w:r>
        <w:rPr>
          <w:rFonts w:hint="eastAsia" w:ascii="宋体" w:hAnsi="宋体" w:cs="宋体"/>
          <w:bCs/>
          <w:color w:val="auto"/>
          <w:szCs w:val="24"/>
        </w:rPr>
        <w:t>二、法定代表人身份证明</w:t>
      </w:r>
    </w:p>
    <w:p w14:paraId="0D1663A6">
      <w:pPr>
        <w:spacing w:line="500" w:lineRule="exact"/>
        <w:rPr>
          <w:rFonts w:hint="eastAsia" w:ascii="宋体" w:hAnsi="宋体" w:cs="宋体"/>
          <w:color w:val="auto"/>
          <w:sz w:val="24"/>
        </w:rPr>
      </w:pPr>
      <w:r>
        <w:rPr>
          <w:rFonts w:hint="eastAsia" w:ascii="宋体" w:hAnsi="宋体" w:cs="宋体"/>
          <w:color w:val="auto"/>
          <w:sz w:val="24"/>
        </w:rPr>
        <w:t>供应商：</w:t>
      </w:r>
    </w:p>
    <w:p w14:paraId="67CA4536">
      <w:pPr>
        <w:spacing w:line="500" w:lineRule="exact"/>
        <w:rPr>
          <w:rFonts w:hint="eastAsia" w:ascii="宋体" w:hAnsi="宋体" w:cs="宋体"/>
          <w:color w:val="auto"/>
          <w:sz w:val="24"/>
        </w:rPr>
      </w:pPr>
      <w:r>
        <w:rPr>
          <w:rFonts w:hint="eastAsia" w:ascii="宋体" w:hAnsi="宋体" w:cs="宋体"/>
          <w:color w:val="auto"/>
          <w:sz w:val="24"/>
        </w:rPr>
        <w:t>单位性质：</w:t>
      </w:r>
    </w:p>
    <w:p w14:paraId="06EEF803">
      <w:pPr>
        <w:spacing w:line="500" w:lineRule="exact"/>
        <w:rPr>
          <w:rFonts w:hint="eastAsia" w:ascii="宋体" w:hAnsi="宋体" w:cs="宋体"/>
          <w:color w:val="auto"/>
          <w:sz w:val="24"/>
        </w:rPr>
      </w:pPr>
      <w:r>
        <w:rPr>
          <w:rFonts w:hint="eastAsia" w:ascii="宋体" w:hAnsi="宋体" w:cs="宋体"/>
          <w:color w:val="auto"/>
          <w:sz w:val="24"/>
        </w:rPr>
        <w:t>地址：</w:t>
      </w:r>
    </w:p>
    <w:p w14:paraId="2DE6FD9C">
      <w:pPr>
        <w:spacing w:line="500" w:lineRule="exact"/>
        <w:rPr>
          <w:rFonts w:hint="eastAsia" w:ascii="宋体" w:hAnsi="宋体" w:cs="宋体"/>
          <w:color w:val="auto"/>
          <w:sz w:val="24"/>
        </w:rPr>
      </w:pPr>
      <w:r>
        <w:rPr>
          <w:rFonts w:hint="eastAsia" w:ascii="宋体" w:hAnsi="宋体" w:cs="宋体"/>
          <w:color w:val="auto"/>
          <w:sz w:val="24"/>
        </w:rPr>
        <w:t>成立时间：年月日</w:t>
      </w:r>
    </w:p>
    <w:p w14:paraId="6E59D726">
      <w:pPr>
        <w:spacing w:line="500" w:lineRule="exact"/>
        <w:rPr>
          <w:rFonts w:hint="eastAsia" w:ascii="宋体" w:hAnsi="宋体" w:cs="宋体"/>
          <w:color w:val="auto"/>
          <w:sz w:val="24"/>
        </w:rPr>
      </w:pPr>
      <w:r>
        <w:rPr>
          <w:rFonts w:hint="eastAsia" w:ascii="宋体" w:hAnsi="宋体" w:cs="宋体"/>
          <w:color w:val="auto"/>
          <w:sz w:val="24"/>
        </w:rPr>
        <w:t>经营期限：</w:t>
      </w:r>
    </w:p>
    <w:p w14:paraId="156E93AC">
      <w:pPr>
        <w:spacing w:line="500" w:lineRule="exact"/>
        <w:rPr>
          <w:rFonts w:hint="eastAsia" w:ascii="宋体" w:hAnsi="宋体" w:cs="宋体"/>
          <w:color w:val="auto"/>
          <w:sz w:val="24"/>
        </w:rPr>
      </w:pPr>
      <w:r>
        <w:rPr>
          <w:rFonts w:hint="eastAsia" w:ascii="宋体" w:hAnsi="宋体" w:cs="宋体"/>
          <w:color w:val="auto"/>
          <w:sz w:val="24"/>
        </w:rPr>
        <w:t>姓名：性别：</w:t>
      </w:r>
    </w:p>
    <w:p w14:paraId="22331A4E">
      <w:pPr>
        <w:spacing w:line="500" w:lineRule="exact"/>
        <w:rPr>
          <w:rFonts w:hint="eastAsia" w:ascii="宋体" w:hAnsi="宋体" w:cs="宋体"/>
          <w:color w:val="auto"/>
          <w:sz w:val="24"/>
        </w:rPr>
      </w:pPr>
      <w:r>
        <w:rPr>
          <w:rFonts w:hint="eastAsia" w:ascii="宋体" w:hAnsi="宋体" w:cs="宋体"/>
          <w:color w:val="auto"/>
          <w:sz w:val="24"/>
        </w:rPr>
        <w:t>年龄：职务：</w:t>
      </w:r>
    </w:p>
    <w:p w14:paraId="7DA86668">
      <w:pPr>
        <w:spacing w:line="500" w:lineRule="exact"/>
        <w:rPr>
          <w:rFonts w:hint="eastAsia" w:ascii="宋体" w:hAnsi="宋体" w:cs="宋体"/>
          <w:color w:val="auto"/>
          <w:sz w:val="24"/>
        </w:rPr>
      </w:pPr>
      <w:r>
        <w:rPr>
          <w:rFonts w:hint="eastAsia" w:ascii="宋体" w:hAnsi="宋体" w:cs="宋体"/>
          <w:color w:val="auto"/>
          <w:sz w:val="24"/>
        </w:rPr>
        <w:t>系（供应商名称）的法定代表人。</w:t>
      </w:r>
    </w:p>
    <w:p w14:paraId="15C48BDE">
      <w:pPr>
        <w:spacing w:line="500" w:lineRule="exact"/>
        <w:rPr>
          <w:rFonts w:hint="eastAsia" w:ascii="宋体" w:hAnsi="宋体" w:cs="宋体"/>
          <w:color w:val="auto"/>
          <w:sz w:val="24"/>
        </w:rPr>
      </w:pPr>
      <w:r>
        <w:rPr>
          <w:rFonts w:hint="eastAsia" w:ascii="宋体" w:hAnsi="宋体" w:cs="宋体"/>
          <w:color w:val="auto"/>
          <w:sz w:val="24"/>
        </w:rPr>
        <w:t>特此证明。</w:t>
      </w:r>
    </w:p>
    <w:p w14:paraId="722ABB66">
      <w:pPr>
        <w:spacing w:line="500" w:lineRule="exact"/>
        <w:rPr>
          <w:rFonts w:hint="eastAsia" w:ascii="宋体" w:hAnsi="宋体" w:cs="宋体"/>
          <w:color w:val="auto"/>
          <w:sz w:val="24"/>
        </w:rPr>
      </w:pPr>
      <w:r>
        <w:rPr>
          <w:rFonts w:hint="eastAsia" w:ascii="宋体" w:hAnsi="宋体" w:cs="宋体"/>
          <w:color w:val="auto"/>
          <w:sz w:val="24"/>
        </w:rPr>
        <w:t xml:space="preserve"> </w:t>
      </w:r>
    </w:p>
    <w:p w14:paraId="65EDA77C">
      <w:pPr>
        <w:spacing w:line="500" w:lineRule="exact"/>
        <w:rPr>
          <w:rFonts w:hint="eastAsia" w:ascii="宋体" w:hAnsi="宋体" w:cs="宋体"/>
          <w:color w:val="auto"/>
          <w:sz w:val="24"/>
        </w:rPr>
      </w:pPr>
      <w:r>
        <w:rPr>
          <w:rFonts w:hint="eastAsia" w:ascii="宋体" w:hAnsi="宋体" w:cs="宋体"/>
          <w:color w:val="auto"/>
          <w:sz w:val="24"/>
        </w:rPr>
        <w:t xml:space="preserve"> </w:t>
      </w:r>
    </w:p>
    <w:p w14:paraId="50D798A4">
      <w:pPr>
        <w:spacing w:line="500" w:lineRule="exact"/>
        <w:jc w:val="right"/>
        <w:rPr>
          <w:rFonts w:hint="eastAsia" w:ascii="宋体" w:hAnsi="宋体" w:cs="宋体"/>
          <w:color w:val="auto"/>
          <w:sz w:val="24"/>
        </w:rPr>
      </w:pPr>
      <w:r>
        <w:rPr>
          <w:rFonts w:hint="eastAsia" w:ascii="宋体" w:hAnsi="宋体" w:cs="宋体"/>
          <w:color w:val="auto"/>
          <w:sz w:val="24"/>
        </w:rPr>
        <w:t>供应商：（盖单位章）</w:t>
      </w:r>
    </w:p>
    <w:p w14:paraId="21F10899">
      <w:pPr>
        <w:spacing w:line="500" w:lineRule="exact"/>
        <w:jc w:val="right"/>
        <w:rPr>
          <w:rFonts w:hint="eastAsia" w:ascii="宋体" w:hAnsi="宋体" w:cs="宋体"/>
          <w:color w:val="auto"/>
          <w:sz w:val="24"/>
        </w:rPr>
      </w:pPr>
      <w:r>
        <w:rPr>
          <w:rFonts w:hint="eastAsia" w:ascii="宋体" w:hAnsi="宋体" w:cs="宋体"/>
          <w:color w:val="auto"/>
          <w:sz w:val="24"/>
        </w:rPr>
        <w:t>年  月  日</w:t>
      </w:r>
    </w:p>
    <w:p w14:paraId="5974CBC1">
      <w:pPr>
        <w:pStyle w:val="2"/>
        <w:numPr>
          <w:ilvl w:val="0"/>
          <w:numId w:val="0"/>
        </w:numPr>
        <w:ind w:left="420"/>
        <w:jc w:val="center"/>
        <w:rPr>
          <w:rFonts w:hint="eastAsia" w:ascii="宋体" w:hAnsi="宋体" w:cs="宋体"/>
          <w:b w:val="0"/>
          <w:color w:val="auto"/>
          <w:szCs w:val="24"/>
        </w:rPr>
      </w:pPr>
      <w:r>
        <w:rPr>
          <w:rFonts w:hint="eastAsia" w:ascii="宋体" w:hAnsi="宋体" w:cs="宋体"/>
          <w:color w:val="auto"/>
          <w:szCs w:val="24"/>
        </w:rPr>
        <w:br w:type="page"/>
      </w:r>
      <w:bookmarkStart w:id="132" w:name="_Toc528078069"/>
      <w:bookmarkEnd w:id="132"/>
      <w:bookmarkStart w:id="133" w:name="_Toc23204"/>
      <w:r>
        <w:rPr>
          <w:rFonts w:hint="eastAsia" w:ascii="宋体" w:hAnsi="宋体" w:cs="宋体"/>
          <w:bCs/>
          <w:color w:val="auto"/>
          <w:szCs w:val="24"/>
        </w:rPr>
        <w:t>三、授权委托书</w:t>
      </w:r>
      <w:bookmarkEnd w:id="133"/>
    </w:p>
    <w:p w14:paraId="27EF87CA">
      <w:pPr>
        <w:spacing w:line="500" w:lineRule="exact"/>
        <w:ind w:firstLine="480" w:firstLineChars="200"/>
        <w:rPr>
          <w:rFonts w:hint="eastAsia" w:ascii="宋体" w:hAnsi="宋体" w:cs="宋体"/>
          <w:color w:val="auto"/>
          <w:sz w:val="24"/>
        </w:rPr>
      </w:pPr>
      <w:r>
        <w:rPr>
          <w:rFonts w:hint="eastAsia" w:ascii="宋体" w:hAnsi="宋体" w:cs="宋体"/>
          <w:color w:val="auto"/>
          <w:sz w:val="24"/>
        </w:rPr>
        <w:t>本人</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的法定代表人，现委托</w:t>
      </w:r>
      <w:r>
        <w:rPr>
          <w:rFonts w:hint="eastAsia" w:ascii="宋体" w:hAnsi="宋体" w:cs="宋体"/>
          <w:color w:val="auto"/>
          <w:sz w:val="24"/>
          <w:u w:val="single"/>
        </w:rPr>
        <w:t>（姓名）</w:t>
      </w:r>
      <w:r>
        <w:rPr>
          <w:rFonts w:hint="eastAsia" w:ascii="宋体" w:hAnsi="宋体" w:cs="宋体"/>
          <w:color w:val="auto"/>
          <w:sz w:val="24"/>
        </w:rPr>
        <w:t>为我方代理人。代理人根据授权，以我方名义签署、澄清、说明、补正、递交、撤回、修改</w:t>
      </w:r>
      <w:r>
        <w:rPr>
          <w:rFonts w:hint="eastAsia" w:ascii="宋体" w:hAnsi="宋体" w:cs="宋体"/>
          <w:color w:val="auto"/>
          <w:sz w:val="24"/>
          <w:u w:val="single"/>
        </w:rPr>
        <w:t>（项目名称）</w:t>
      </w:r>
      <w:r>
        <w:rPr>
          <w:rFonts w:hint="eastAsia" w:ascii="宋体" w:hAnsi="宋体" w:cs="宋体"/>
          <w:color w:val="auto"/>
          <w:sz w:val="24"/>
          <w:lang w:val="en-US" w:eastAsia="zh-CN"/>
        </w:rPr>
        <w:t>投标</w:t>
      </w:r>
      <w:r>
        <w:rPr>
          <w:rFonts w:hint="eastAsia" w:ascii="宋体" w:hAnsi="宋体" w:cs="宋体"/>
          <w:color w:val="auto"/>
          <w:sz w:val="24"/>
        </w:rPr>
        <w:t>文件、签订合同和处理有关事宜，其法律后果由我方承担。</w:t>
      </w:r>
    </w:p>
    <w:p w14:paraId="4181E930">
      <w:pPr>
        <w:spacing w:line="500" w:lineRule="exact"/>
        <w:ind w:firstLine="480" w:firstLineChars="200"/>
        <w:rPr>
          <w:rFonts w:hint="eastAsia" w:ascii="宋体" w:hAnsi="宋体" w:cs="宋体"/>
          <w:color w:val="auto"/>
          <w:sz w:val="24"/>
        </w:rPr>
      </w:pPr>
      <w:r>
        <w:rPr>
          <w:rFonts w:hint="eastAsia" w:ascii="宋体" w:hAnsi="宋体" w:cs="宋体"/>
          <w:color w:val="auto"/>
          <w:sz w:val="24"/>
        </w:rPr>
        <w:t>委托期限：</w:t>
      </w:r>
    </w:p>
    <w:p w14:paraId="742E644A">
      <w:pPr>
        <w:spacing w:line="500" w:lineRule="exact"/>
        <w:ind w:firstLine="480" w:firstLineChars="200"/>
        <w:rPr>
          <w:rFonts w:hint="eastAsia" w:ascii="宋体" w:hAnsi="宋体" w:cs="宋体"/>
          <w:color w:val="auto"/>
          <w:sz w:val="24"/>
        </w:rPr>
      </w:pPr>
      <w:r>
        <w:rPr>
          <w:rFonts w:hint="eastAsia" w:ascii="宋体" w:hAnsi="宋体" w:cs="宋体"/>
          <w:color w:val="auto"/>
          <w:sz w:val="24"/>
        </w:rPr>
        <w:t>代理人无转委托权。</w:t>
      </w:r>
    </w:p>
    <w:p w14:paraId="1494FE3B">
      <w:pPr>
        <w:spacing w:line="500" w:lineRule="exact"/>
        <w:ind w:firstLine="480" w:firstLineChars="200"/>
        <w:rPr>
          <w:rFonts w:hint="eastAsia" w:ascii="宋体" w:hAnsi="宋体" w:cs="宋体"/>
          <w:color w:val="auto"/>
          <w:sz w:val="24"/>
        </w:rPr>
      </w:pPr>
      <w:r>
        <w:rPr>
          <w:rFonts w:hint="eastAsia" w:ascii="宋体" w:hAnsi="宋体" w:cs="宋体"/>
          <w:color w:val="auto"/>
          <w:sz w:val="24"/>
        </w:rPr>
        <w:t>附：法定代表人身份证明及授权代理人身份证明</w:t>
      </w:r>
    </w:p>
    <w:p w14:paraId="724DB66F">
      <w:pPr>
        <w:spacing w:line="500" w:lineRule="exact"/>
        <w:rPr>
          <w:rFonts w:hint="eastAsia" w:ascii="宋体" w:hAnsi="宋体" w:cs="宋体"/>
          <w:color w:val="auto"/>
          <w:sz w:val="24"/>
        </w:rPr>
      </w:pPr>
      <w:r>
        <w:rPr>
          <w:rFonts w:hint="eastAsia" w:ascii="宋体" w:hAnsi="宋体" w:cs="宋体"/>
          <w:color w:val="auto"/>
          <w:sz w:val="24"/>
        </w:rPr>
        <w:t xml:space="preserve"> </w:t>
      </w:r>
    </w:p>
    <w:p w14:paraId="0F651D23">
      <w:pPr>
        <w:spacing w:line="400" w:lineRule="exact"/>
        <w:ind w:firstLine="4080" w:firstLineChars="1700"/>
        <w:rPr>
          <w:rFonts w:hint="eastAsia" w:ascii="宋体" w:hAnsi="宋体" w:cs="宋体"/>
          <w:color w:val="auto"/>
          <w:sz w:val="24"/>
        </w:rPr>
      </w:pPr>
      <w:r>
        <w:rPr>
          <w:rFonts w:hint="eastAsia" w:ascii="宋体" w:hAnsi="宋体" w:cs="宋体"/>
          <w:color w:val="auto"/>
          <w:sz w:val="24"/>
        </w:rPr>
        <w:t>供应商：（盖单位章）</w:t>
      </w:r>
    </w:p>
    <w:p w14:paraId="3C99997D">
      <w:pPr>
        <w:spacing w:line="400" w:lineRule="exact"/>
        <w:ind w:firstLine="4080" w:firstLineChars="1700"/>
        <w:rPr>
          <w:rFonts w:hint="eastAsia" w:ascii="宋体" w:hAnsi="宋体" w:cs="宋体"/>
          <w:color w:val="auto"/>
          <w:sz w:val="24"/>
        </w:rPr>
      </w:pPr>
      <w:r>
        <w:rPr>
          <w:rFonts w:hint="eastAsia" w:ascii="宋体" w:hAnsi="宋体" w:cs="宋体"/>
          <w:color w:val="auto"/>
          <w:sz w:val="24"/>
        </w:rPr>
        <w:t xml:space="preserve"> </w:t>
      </w:r>
    </w:p>
    <w:p w14:paraId="22A30A74">
      <w:pPr>
        <w:spacing w:line="400" w:lineRule="exact"/>
        <w:ind w:firstLine="4080" w:firstLineChars="1700"/>
        <w:rPr>
          <w:rFonts w:hint="eastAsia" w:ascii="宋体" w:hAnsi="宋体" w:cs="宋体"/>
          <w:color w:val="auto"/>
          <w:sz w:val="24"/>
        </w:rPr>
      </w:pPr>
      <w:r>
        <w:rPr>
          <w:rFonts w:hint="eastAsia" w:ascii="宋体" w:hAnsi="宋体" w:cs="宋体"/>
          <w:color w:val="auto"/>
          <w:sz w:val="24"/>
        </w:rPr>
        <w:t>法定代表人：（盖章）</w:t>
      </w:r>
    </w:p>
    <w:p w14:paraId="232C7146">
      <w:pPr>
        <w:spacing w:line="400" w:lineRule="exact"/>
        <w:ind w:firstLine="4096" w:firstLineChars="1700"/>
        <w:rPr>
          <w:rFonts w:hint="eastAsia" w:ascii="宋体" w:hAnsi="宋体" w:cs="宋体"/>
          <w:b/>
          <w:bCs/>
          <w:color w:val="auto"/>
          <w:sz w:val="24"/>
        </w:rPr>
      </w:pPr>
      <w:r>
        <w:rPr>
          <w:rFonts w:hint="eastAsia" w:ascii="宋体" w:hAnsi="宋体" w:cs="宋体"/>
          <w:b/>
          <w:bCs/>
          <w:color w:val="auto"/>
          <w:sz w:val="24"/>
        </w:rPr>
        <w:t xml:space="preserve"> </w:t>
      </w:r>
    </w:p>
    <w:p w14:paraId="0B8B0ACC">
      <w:pPr>
        <w:spacing w:line="400" w:lineRule="exact"/>
        <w:ind w:firstLine="4080" w:firstLineChars="1700"/>
        <w:rPr>
          <w:rFonts w:hint="eastAsia" w:ascii="宋体" w:hAnsi="宋体" w:cs="宋体"/>
          <w:b w:val="0"/>
          <w:bCs w:val="0"/>
          <w:color w:val="auto"/>
          <w:sz w:val="24"/>
          <w:u w:val="single"/>
        </w:rPr>
      </w:pPr>
      <w:r>
        <w:rPr>
          <w:rFonts w:hint="eastAsia" w:ascii="宋体" w:hAnsi="宋体" w:cs="宋体"/>
          <w:b w:val="0"/>
          <w:bCs w:val="0"/>
          <w:color w:val="auto"/>
          <w:sz w:val="24"/>
        </w:rPr>
        <w:t>身份证号码：</w:t>
      </w:r>
    </w:p>
    <w:p w14:paraId="1C02FF7C">
      <w:pPr>
        <w:spacing w:line="400" w:lineRule="exact"/>
        <w:ind w:firstLine="4096" w:firstLineChars="1700"/>
        <w:rPr>
          <w:rFonts w:hint="eastAsia" w:ascii="宋体" w:hAnsi="宋体" w:cs="宋体"/>
          <w:b/>
          <w:bCs/>
          <w:color w:val="auto"/>
          <w:sz w:val="24"/>
        </w:rPr>
      </w:pPr>
      <w:r>
        <w:rPr>
          <w:rFonts w:hint="eastAsia" w:ascii="宋体" w:hAnsi="宋体" w:cs="宋体"/>
          <w:b/>
          <w:bCs/>
          <w:color w:val="auto"/>
          <w:sz w:val="24"/>
        </w:rPr>
        <w:t xml:space="preserve"> </w:t>
      </w:r>
    </w:p>
    <w:p w14:paraId="7B964825">
      <w:pPr>
        <w:spacing w:line="400" w:lineRule="exact"/>
        <w:ind w:firstLine="4080" w:firstLineChars="1700"/>
        <w:rPr>
          <w:rFonts w:hint="eastAsia" w:ascii="宋体" w:hAnsi="宋体" w:cs="宋体"/>
          <w:color w:val="auto"/>
          <w:sz w:val="24"/>
        </w:rPr>
      </w:pPr>
      <w:r>
        <w:rPr>
          <w:rFonts w:hint="eastAsia" w:ascii="宋体" w:hAnsi="宋体" w:cs="宋体"/>
          <w:color w:val="auto"/>
          <w:sz w:val="24"/>
        </w:rPr>
        <w:t>委托代理人： （签字）</w:t>
      </w:r>
    </w:p>
    <w:p w14:paraId="7182EE0A">
      <w:pPr>
        <w:spacing w:line="400" w:lineRule="exact"/>
        <w:ind w:firstLine="4080" w:firstLineChars="1700"/>
        <w:rPr>
          <w:rFonts w:hint="eastAsia" w:ascii="宋体" w:hAnsi="宋体" w:cs="宋体"/>
          <w:color w:val="auto"/>
          <w:sz w:val="24"/>
        </w:rPr>
      </w:pPr>
      <w:r>
        <w:rPr>
          <w:rFonts w:hint="eastAsia" w:ascii="宋体" w:hAnsi="宋体" w:cs="宋体"/>
          <w:color w:val="auto"/>
          <w:sz w:val="24"/>
        </w:rPr>
        <w:t xml:space="preserve"> </w:t>
      </w:r>
    </w:p>
    <w:p w14:paraId="7DD6C84F">
      <w:pPr>
        <w:spacing w:line="400" w:lineRule="exact"/>
        <w:ind w:firstLine="4080" w:firstLineChars="1700"/>
        <w:rPr>
          <w:rFonts w:hint="eastAsia" w:ascii="宋体" w:hAnsi="宋体" w:cs="宋体"/>
          <w:color w:val="auto"/>
          <w:sz w:val="24"/>
        </w:rPr>
      </w:pPr>
      <w:r>
        <w:rPr>
          <w:rFonts w:hint="eastAsia" w:ascii="宋体" w:hAnsi="宋体" w:cs="宋体"/>
          <w:color w:val="auto"/>
          <w:sz w:val="24"/>
        </w:rPr>
        <w:t>身份证号码：</w:t>
      </w:r>
    </w:p>
    <w:p w14:paraId="6289D87B">
      <w:pPr>
        <w:pStyle w:val="4"/>
        <w:rPr>
          <w:rFonts w:hint="eastAsia"/>
          <w:color w:val="auto"/>
        </w:rPr>
      </w:pPr>
    </w:p>
    <w:p w14:paraId="18154839">
      <w:pPr>
        <w:spacing w:line="400" w:lineRule="exact"/>
        <w:ind w:firstLine="4080" w:firstLineChars="1700"/>
        <w:rPr>
          <w:rFonts w:hint="eastAsia" w:ascii="宋体" w:hAnsi="宋体" w:cs="宋体"/>
          <w:color w:val="auto"/>
          <w:sz w:val="24"/>
        </w:rPr>
      </w:pPr>
      <w:r>
        <w:rPr>
          <w:rFonts w:hint="eastAsia" w:ascii="宋体" w:hAnsi="宋体" w:cs="宋体"/>
          <w:color w:val="auto"/>
          <w:sz w:val="24"/>
        </w:rPr>
        <w:t>年  月   日</w:t>
      </w:r>
    </w:p>
    <w:p w14:paraId="22749557">
      <w:pPr>
        <w:spacing w:line="400" w:lineRule="exact"/>
        <w:rPr>
          <w:rFonts w:hint="eastAsia" w:ascii="宋体" w:hAnsi="宋体" w:cs="宋体"/>
          <w:b/>
          <w:bCs/>
          <w:color w:val="auto"/>
          <w:sz w:val="24"/>
        </w:rPr>
      </w:pPr>
      <w:r>
        <w:rPr>
          <w:rFonts w:hint="eastAsia" w:ascii="宋体" w:hAnsi="宋体" w:cs="宋体"/>
          <w:b/>
          <w:bCs/>
          <w:color w:val="auto"/>
          <w:sz w:val="24"/>
        </w:rPr>
        <w:t xml:space="preserve"> </w:t>
      </w:r>
    </w:p>
    <w:p w14:paraId="3424DC22">
      <w:pPr>
        <w:spacing w:line="400" w:lineRule="exact"/>
        <w:rPr>
          <w:rFonts w:hint="eastAsia" w:ascii="宋体" w:hAnsi="宋体" w:cs="宋体"/>
          <w:b/>
          <w:bCs/>
          <w:color w:val="auto"/>
          <w:sz w:val="24"/>
        </w:rPr>
      </w:pPr>
      <w:r>
        <w:rPr>
          <w:rFonts w:hint="eastAsia" w:ascii="宋体" w:hAnsi="宋体" w:cs="宋体"/>
          <w:b/>
          <w:bCs/>
          <w:color w:val="auto"/>
          <w:sz w:val="24"/>
        </w:rPr>
        <w:t>注：因投标文件中授权委托书授权代理人无法手写签字，可以以印刷体代替（印刷体为电脑打出的字体）。</w:t>
      </w:r>
      <w:bookmarkStart w:id="134" w:name="_Toc466566810"/>
      <w:bookmarkEnd w:id="134"/>
    </w:p>
    <w:p w14:paraId="7ED746E6">
      <w:pPr>
        <w:rPr>
          <w:rFonts w:hint="eastAsia" w:ascii="宋体" w:hAnsi="宋体" w:cs="宋体"/>
          <w:b/>
          <w:bCs/>
          <w:color w:val="auto"/>
          <w:sz w:val="24"/>
        </w:rPr>
      </w:pPr>
      <w:r>
        <w:rPr>
          <w:rFonts w:hint="eastAsia" w:ascii="宋体" w:hAnsi="宋体" w:cs="宋体"/>
          <w:b/>
          <w:bCs/>
          <w:color w:val="auto"/>
          <w:sz w:val="24"/>
        </w:rPr>
        <w:t xml:space="preserve"> </w:t>
      </w:r>
    </w:p>
    <w:p w14:paraId="2997AEF9">
      <w:pPr>
        <w:rPr>
          <w:rFonts w:hint="eastAsia" w:ascii="宋体" w:hAnsi="宋体" w:cs="宋体"/>
          <w:b/>
          <w:bCs/>
          <w:color w:val="auto"/>
          <w:sz w:val="24"/>
        </w:rPr>
      </w:pPr>
      <w:r>
        <w:rPr>
          <w:rFonts w:hint="eastAsia" w:ascii="宋体" w:hAnsi="宋体" w:cs="宋体"/>
          <w:b/>
          <w:bCs/>
          <w:color w:val="auto"/>
          <w:sz w:val="24"/>
        </w:rPr>
        <w:t xml:space="preserve"> </w:t>
      </w:r>
    </w:p>
    <w:p w14:paraId="2166FDD7">
      <w:pPr>
        <w:rPr>
          <w:rFonts w:hint="eastAsia" w:ascii="宋体" w:hAnsi="宋体" w:cs="宋体"/>
          <w:b/>
          <w:bCs/>
          <w:color w:val="auto"/>
          <w:sz w:val="24"/>
        </w:rPr>
      </w:pPr>
      <w:r>
        <w:rPr>
          <w:rFonts w:hint="eastAsia" w:ascii="宋体" w:hAnsi="宋体" w:cs="宋体"/>
          <w:b/>
          <w:bCs/>
          <w:color w:val="auto"/>
          <w:sz w:val="24"/>
        </w:rPr>
        <w:t xml:space="preserve"> </w:t>
      </w:r>
    </w:p>
    <w:p w14:paraId="20B04E85">
      <w:pPr>
        <w:rPr>
          <w:rFonts w:hint="eastAsia" w:ascii="宋体" w:hAnsi="宋体" w:cs="宋体"/>
          <w:b/>
          <w:bCs/>
          <w:color w:val="auto"/>
          <w:sz w:val="24"/>
        </w:rPr>
      </w:pPr>
      <w:r>
        <w:rPr>
          <w:rFonts w:hint="eastAsia" w:ascii="宋体" w:hAnsi="宋体" w:cs="宋体"/>
          <w:b/>
          <w:bCs/>
          <w:color w:val="auto"/>
          <w:sz w:val="24"/>
        </w:rPr>
        <w:t xml:space="preserve"> </w:t>
      </w:r>
    </w:p>
    <w:p w14:paraId="4C3CF3D9">
      <w:pPr>
        <w:rPr>
          <w:rFonts w:hint="eastAsia" w:ascii="宋体" w:hAnsi="宋体" w:cs="宋体"/>
          <w:b/>
          <w:bCs/>
          <w:color w:val="auto"/>
          <w:sz w:val="24"/>
        </w:rPr>
      </w:pPr>
      <w:r>
        <w:rPr>
          <w:rFonts w:hint="eastAsia" w:ascii="宋体" w:hAnsi="宋体" w:cs="宋体"/>
          <w:b/>
          <w:bCs/>
          <w:color w:val="auto"/>
          <w:sz w:val="24"/>
        </w:rPr>
        <w:t xml:space="preserve"> </w:t>
      </w:r>
    </w:p>
    <w:p w14:paraId="6C1C36BB">
      <w:pPr>
        <w:rPr>
          <w:rFonts w:hint="eastAsia" w:ascii="宋体" w:hAnsi="宋体" w:cs="宋体"/>
          <w:b/>
          <w:bCs/>
          <w:color w:val="auto"/>
          <w:sz w:val="24"/>
        </w:rPr>
      </w:pPr>
      <w:r>
        <w:rPr>
          <w:rFonts w:hint="eastAsia" w:ascii="宋体" w:hAnsi="宋体" w:cs="宋体"/>
          <w:b/>
          <w:bCs/>
          <w:color w:val="auto"/>
          <w:sz w:val="24"/>
        </w:rPr>
        <w:t xml:space="preserve"> </w:t>
      </w:r>
    </w:p>
    <w:p w14:paraId="0D5666BF">
      <w:pPr>
        <w:rPr>
          <w:rFonts w:hint="eastAsia" w:ascii="宋体" w:hAnsi="宋体" w:cs="宋体"/>
          <w:b/>
          <w:bCs/>
          <w:color w:val="auto"/>
          <w:sz w:val="24"/>
        </w:rPr>
      </w:pPr>
      <w:r>
        <w:rPr>
          <w:rFonts w:hint="eastAsia" w:ascii="宋体" w:hAnsi="宋体" w:cs="宋体"/>
          <w:b/>
          <w:bCs/>
          <w:color w:val="auto"/>
          <w:sz w:val="24"/>
        </w:rPr>
        <w:t xml:space="preserve"> </w:t>
      </w:r>
    </w:p>
    <w:p w14:paraId="61D418D7">
      <w:pPr>
        <w:rPr>
          <w:rFonts w:hint="eastAsia" w:ascii="宋体" w:hAnsi="宋体" w:cs="宋体"/>
          <w:b/>
          <w:bCs/>
          <w:color w:val="auto"/>
          <w:sz w:val="24"/>
        </w:rPr>
      </w:pPr>
      <w:r>
        <w:rPr>
          <w:rFonts w:hint="eastAsia" w:ascii="宋体" w:hAnsi="宋体" w:cs="宋体"/>
          <w:b/>
          <w:bCs/>
          <w:color w:val="auto"/>
          <w:sz w:val="24"/>
        </w:rPr>
        <w:t xml:space="preserve"> </w:t>
      </w:r>
    </w:p>
    <w:p w14:paraId="58C537BE">
      <w:pPr>
        <w:pStyle w:val="2"/>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bCs/>
          <w:color w:val="auto"/>
          <w:szCs w:val="24"/>
        </w:rPr>
      </w:pPr>
      <w:bookmarkStart w:id="135" w:name="_Toc10352"/>
      <w:bookmarkEnd w:id="135"/>
      <w:r>
        <w:rPr>
          <w:rFonts w:hint="eastAsia" w:ascii="宋体" w:hAnsi="宋体" w:cs="宋体"/>
          <w:bCs/>
          <w:color w:val="auto"/>
          <w:szCs w:val="24"/>
        </w:rPr>
        <w:br w:type="page"/>
      </w:r>
      <w:r>
        <w:rPr>
          <w:rFonts w:hint="eastAsia" w:ascii="宋体" w:hAnsi="宋体" w:cs="宋体"/>
          <w:bCs/>
          <w:color w:val="auto"/>
          <w:szCs w:val="24"/>
        </w:rPr>
        <w:t>四、投标承诺函</w:t>
      </w:r>
    </w:p>
    <w:p w14:paraId="5E998E71">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lang w:eastAsia="zh-CN"/>
        </w:rPr>
        <w:t>采购人</w:t>
      </w:r>
      <w:r>
        <w:rPr>
          <w:rFonts w:hint="eastAsia" w:ascii="宋体" w:hAnsi="宋体" w:cs="宋体"/>
          <w:color w:val="auto"/>
          <w:sz w:val="24"/>
        </w:rPr>
        <w:t>）：</w:t>
      </w:r>
    </w:p>
    <w:p w14:paraId="35E3CCD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我公司作为本次采购项目的供应商，根据招标文件要求，现郑重承诺如下：</w:t>
      </w:r>
    </w:p>
    <w:p w14:paraId="797C0C6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一</w:t>
      </w:r>
      <w:r>
        <w:rPr>
          <w:rFonts w:hint="eastAsia" w:ascii="宋体" w:hAnsi="宋体" w:cs="宋体"/>
          <w:color w:val="auto"/>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6A413B6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二</w:t>
      </w:r>
      <w:r>
        <w:rPr>
          <w:rFonts w:hint="eastAsia" w:ascii="宋体" w:hAnsi="宋体" w:cs="宋体"/>
          <w:color w:val="auto"/>
          <w:sz w:val="24"/>
        </w:rPr>
        <w:t>、参加本次招标采购活动，不存在与单位负责人为同一人或者存在直接控股、管理关系的其他供应商参与同一合同项下的政府采购活动的行为。</w:t>
      </w:r>
    </w:p>
    <w:p w14:paraId="7DE446E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、参加本次招标采购活动，不存在为采购项目提供整体设计、规范编制或者项目管理、监理、检测等服务的行为。</w:t>
      </w:r>
    </w:p>
    <w:p w14:paraId="6AD847C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四</w:t>
      </w:r>
      <w:r>
        <w:rPr>
          <w:rFonts w:hint="eastAsia" w:ascii="宋体" w:hAnsi="宋体" w:cs="宋体"/>
          <w:color w:val="auto"/>
          <w:sz w:val="24"/>
        </w:rPr>
        <w:t>、参加本次招标采购活动，不存在和其他供应商在同一合同项下的采购项目中，同时委托同一个自然人、同一家庭的人员、同一单位的人员作为代理人的行为。</w:t>
      </w:r>
    </w:p>
    <w:p w14:paraId="1B47904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五</w:t>
      </w:r>
      <w:r>
        <w:rPr>
          <w:rFonts w:hint="eastAsia" w:ascii="宋体" w:hAnsi="宋体" w:cs="宋体"/>
          <w:color w:val="auto"/>
          <w:sz w:val="24"/>
        </w:rPr>
        <w:t>、供应商参加本次政府采购活动要求在近三年内供应商和其法定代表人没有行贿犯罪行为。</w:t>
      </w:r>
    </w:p>
    <w:p w14:paraId="7373CF7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六</w:t>
      </w:r>
      <w:r>
        <w:rPr>
          <w:rFonts w:hint="eastAsia" w:ascii="宋体" w:hAnsi="宋体" w:cs="宋体"/>
          <w:color w:val="auto"/>
          <w:sz w:val="24"/>
        </w:rPr>
        <w:t>、参加本次招标采购活动，不存在联合体投标。</w:t>
      </w:r>
    </w:p>
    <w:p w14:paraId="72E29E7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七</w:t>
      </w:r>
      <w:r>
        <w:rPr>
          <w:rFonts w:hint="eastAsia" w:ascii="宋体" w:hAnsi="宋体" w:cs="宋体"/>
          <w:color w:val="auto"/>
          <w:sz w:val="24"/>
        </w:rPr>
        <w:t>、</w:t>
      </w:r>
      <w:r>
        <w:rPr>
          <w:rFonts w:hint="eastAsia" w:ascii="宋体" w:hAnsi="宋体" w:cs="宋体"/>
          <w:color w:val="auto"/>
          <w:sz w:val="24"/>
          <w:lang w:eastAsia="zh-CN"/>
        </w:rPr>
        <w:t>投标文件</w:t>
      </w:r>
      <w:r>
        <w:rPr>
          <w:rFonts w:hint="eastAsia" w:ascii="宋体" w:hAnsi="宋体" w:cs="宋体"/>
          <w:color w:val="auto"/>
          <w:sz w:val="24"/>
        </w:rPr>
        <w:t>中提供的能够给予我公司带来优惠、好处的任何材料资料和技术、服务、商务等响应承诺情况都是真实的、有效的、合法的。</w:t>
      </w:r>
    </w:p>
    <w:p w14:paraId="383C16B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八</w:t>
      </w:r>
      <w:r>
        <w:rPr>
          <w:rFonts w:hint="eastAsia" w:ascii="宋体" w:hAnsi="宋体" w:cs="宋体"/>
          <w:color w:val="auto"/>
          <w:sz w:val="24"/>
        </w:rPr>
        <w:t>、存在以下行为之一的愿意接受相关部门的处理：</w:t>
      </w:r>
    </w:p>
    <w:p w14:paraId="1B4A126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（一）投标有效期内撤销</w:t>
      </w:r>
      <w:r>
        <w:rPr>
          <w:rFonts w:hint="eastAsia" w:ascii="宋体" w:hAnsi="宋体" w:cs="宋体"/>
          <w:color w:val="auto"/>
          <w:sz w:val="24"/>
          <w:lang w:eastAsia="zh-CN"/>
        </w:rPr>
        <w:t>投标文件</w:t>
      </w:r>
      <w:r>
        <w:rPr>
          <w:rFonts w:hint="eastAsia" w:ascii="宋体" w:hAnsi="宋体" w:cs="宋体"/>
          <w:color w:val="auto"/>
          <w:sz w:val="24"/>
        </w:rPr>
        <w:t>的；</w:t>
      </w:r>
    </w:p>
    <w:p w14:paraId="1B801BC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（二）在</w:t>
      </w:r>
      <w:r>
        <w:rPr>
          <w:rFonts w:hint="eastAsia" w:ascii="宋体" w:hAnsi="宋体" w:cs="宋体"/>
          <w:color w:val="auto"/>
          <w:sz w:val="24"/>
          <w:lang w:eastAsia="zh-CN"/>
        </w:rPr>
        <w:t>采购人</w:t>
      </w:r>
      <w:r>
        <w:rPr>
          <w:rFonts w:hint="eastAsia" w:ascii="宋体" w:hAnsi="宋体" w:cs="宋体"/>
          <w:color w:val="auto"/>
          <w:sz w:val="24"/>
        </w:rPr>
        <w:t>确定中标人以前放弃中标候选资格的；</w:t>
      </w:r>
    </w:p>
    <w:p w14:paraId="7796EFA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（三）由于中标人的原因未能按照招标文件的规定与</w:t>
      </w:r>
      <w:r>
        <w:rPr>
          <w:rFonts w:hint="eastAsia" w:ascii="宋体" w:hAnsi="宋体" w:cs="宋体"/>
          <w:color w:val="auto"/>
          <w:sz w:val="24"/>
          <w:lang w:eastAsia="zh-CN"/>
        </w:rPr>
        <w:t>采购人</w:t>
      </w:r>
      <w:r>
        <w:rPr>
          <w:rFonts w:hint="eastAsia" w:ascii="宋体" w:hAnsi="宋体" w:cs="宋体"/>
          <w:color w:val="auto"/>
          <w:sz w:val="24"/>
        </w:rPr>
        <w:t>签订合同；</w:t>
      </w:r>
    </w:p>
    <w:p w14:paraId="4FD804B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（四）在</w:t>
      </w:r>
      <w:r>
        <w:rPr>
          <w:rFonts w:hint="eastAsia" w:ascii="宋体" w:hAnsi="宋体" w:cs="宋体"/>
          <w:color w:val="auto"/>
          <w:sz w:val="24"/>
          <w:lang w:eastAsia="zh-CN"/>
        </w:rPr>
        <w:t>投标文件</w:t>
      </w:r>
      <w:r>
        <w:rPr>
          <w:rFonts w:hint="eastAsia" w:ascii="宋体" w:hAnsi="宋体" w:cs="宋体"/>
          <w:color w:val="auto"/>
          <w:sz w:val="24"/>
        </w:rPr>
        <w:t>中提供虚假材料谋取中标；</w:t>
      </w:r>
    </w:p>
    <w:p w14:paraId="60FE68A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五</w:t>
      </w:r>
      <w:r>
        <w:rPr>
          <w:rFonts w:hint="eastAsia" w:ascii="宋体" w:hAnsi="宋体" w:cs="宋体"/>
          <w:color w:val="auto"/>
          <w:sz w:val="24"/>
        </w:rPr>
        <w:t>）与</w:t>
      </w:r>
      <w:r>
        <w:rPr>
          <w:rFonts w:hint="eastAsia" w:ascii="宋体" w:hAnsi="宋体" w:cs="宋体"/>
          <w:color w:val="auto"/>
          <w:sz w:val="24"/>
          <w:lang w:eastAsia="zh-CN"/>
        </w:rPr>
        <w:t>采购人</w:t>
      </w:r>
      <w:r>
        <w:rPr>
          <w:rFonts w:hint="eastAsia" w:ascii="宋体" w:hAnsi="宋体" w:cs="宋体"/>
          <w:color w:val="auto"/>
          <w:sz w:val="24"/>
        </w:rPr>
        <w:t>、其他供应商或者采购代理机构恶意串通的；</w:t>
      </w:r>
    </w:p>
    <w:p w14:paraId="6C2DFE2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六</w:t>
      </w:r>
      <w:r>
        <w:rPr>
          <w:rFonts w:hint="eastAsia" w:ascii="宋体" w:hAnsi="宋体" w:cs="宋体"/>
          <w:color w:val="auto"/>
          <w:sz w:val="24"/>
        </w:rPr>
        <w:t>）投标有效期内，供应商在政府采购活动中有违法、违规、违纪行为。</w:t>
      </w:r>
    </w:p>
    <w:p w14:paraId="6B33F61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由此产生的一切法律后果和责任由我公司承担。我公司声明放弃对此提出任何异议和追索的权利。</w:t>
      </w:r>
    </w:p>
    <w:p w14:paraId="07A7C0D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本公司对上述承诺的内容事项真实性负责。如经查实上述承诺的内容事项存在虚假，我公司愿意接受以提供虚假材料谋取中标追究法律责任。</w:t>
      </w:r>
    </w:p>
    <w:p w14:paraId="292EF81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4"/>
        </w:rPr>
      </w:pPr>
      <w:r>
        <w:rPr>
          <w:rFonts w:hint="eastAsia" w:ascii="宋体" w:hAnsi="宋体" w:cs="宋体"/>
          <w:color w:val="auto"/>
          <w:sz w:val="24"/>
        </w:rPr>
        <w:t xml:space="preserve"> </w:t>
      </w:r>
    </w:p>
    <w:p w14:paraId="0ECAD1B9">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4"/>
        </w:rPr>
      </w:pPr>
      <w:r>
        <w:rPr>
          <w:rFonts w:hint="eastAsia" w:ascii="宋体" w:hAnsi="宋体" w:cs="宋体"/>
          <w:color w:val="auto"/>
          <w:sz w:val="24"/>
        </w:rPr>
        <w:t>供应商名称：               （盖章）</w:t>
      </w:r>
    </w:p>
    <w:p w14:paraId="2D3A988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4"/>
        </w:rPr>
      </w:pPr>
      <w:r>
        <w:rPr>
          <w:rFonts w:hint="eastAsia" w:ascii="宋体" w:hAnsi="宋体" w:cs="宋体"/>
          <w:color w:val="auto"/>
          <w:sz w:val="24"/>
        </w:rPr>
        <w:t>法定代表人：               （盖章）</w:t>
      </w:r>
    </w:p>
    <w:p w14:paraId="1558D878">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4"/>
        </w:rPr>
      </w:pPr>
      <w:r>
        <w:rPr>
          <w:rFonts w:hint="eastAsia" w:ascii="宋体" w:hAnsi="宋体" w:cs="宋体"/>
          <w:color w:val="auto"/>
          <w:sz w:val="24"/>
        </w:rPr>
        <w:t xml:space="preserve">日期：               </w:t>
      </w:r>
      <w:bookmarkStart w:id="136" w:name="_Toc394651926"/>
      <w:bookmarkEnd w:id="136"/>
      <w:bookmarkStart w:id="137" w:name="_Toc152042583"/>
      <w:bookmarkEnd w:id="137"/>
      <w:bookmarkStart w:id="138" w:name="_Toc247085880"/>
      <w:bookmarkEnd w:id="138"/>
      <w:bookmarkStart w:id="139" w:name="_Toc246997105"/>
      <w:bookmarkEnd w:id="139"/>
      <w:bookmarkStart w:id="140" w:name="_Toc152045794"/>
      <w:bookmarkEnd w:id="140"/>
      <w:bookmarkStart w:id="141" w:name="_Toc179632814"/>
      <w:bookmarkEnd w:id="141"/>
      <w:bookmarkStart w:id="142" w:name="_Toc246996362"/>
      <w:bookmarkEnd w:id="142"/>
      <w:bookmarkStart w:id="143" w:name="_Toc144974862"/>
      <w:bookmarkEnd w:id="143"/>
    </w:p>
    <w:p w14:paraId="4E73CA81">
      <w:pPr>
        <w:pStyle w:val="2"/>
        <w:pageBreakBefore w:val="0"/>
        <w:widowControl w:val="0"/>
        <w:numPr>
          <w:ilvl w:val="0"/>
          <w:numId w:val="2"/>
        </w:numPr>
        <w:kinsoku/>
        <w:wordWrap/>
        <w:overflowPunct/>
        <w:topLinePunct w:val="0"/>
        <w:autoSpaceDE/>
        <w:autoSpaceDN/>
        <w:bidi w:val="0"/>
        <w:adjustRightInd/>
        <w:snapToGrid/>
        <w:spacing w:line="560" w:lineRule="exact"/>
        <w:ind w:left="420"/>
        <w:jc w:val="center"/>
        <w:textAlignment w:val="auto"/>
        <w:rPr>
          <w:rStyle w:val="35"/>
          <w:rFonts w:hint="eastAsia"/>
          <w:b/>
          <w:bCs/>
          <w:color w:val="auto"/>
        </w:rPr>
      </w:pPr>
      <w:bookmarkStart w:id="144" w:name="_Toc244934213"/>
      <w:bookmarkEnd w:id="144"/>
      <w:bookmarkStart w:id="145" w:name="_Toc361989462"/>
      <w:bookmarkEnd w:id="145"/>
      <w:bookmarkStart w:id="146" w:name="_Hlk3282331"/>
      <w:bookmarkEnd w:id="146"/>
      <w:bookmarkStart w:id="147" w:name="_Toc361989463"/>
      <w:bookmarkEnd w:id="147"/>
      <w:bookmarkStart w:id="148" w:name="_Toc528078071"/>
      <w:bookmarkEnd w:id="148"/>
      <w:bookmarkStart w:id="149" w:name="_Toc244934212"/>
      <w:bookmarkEnd w:id="149"/>
      <w:bookmarkStart w:id="150" w:name="_Toc25298"/>
      <w:bookmarkStart w:id="151" w:name="_Toc10655"/>
      <w:bookmarkStart w:id="152" w:name="_Toc17010"/>
      <w:r>
        <w:rPr>
          <w:rStyle w:val="35"/>
          <w:rFonts w:hint="eastAsia"/>
          <w:b/>
          <w:bCs/>
          <w:color w:val="auto"/>
        </w:rPr>
        <w:br w:type="page"/>
      </w:r>
      <w:r>
        <w:rPr>
          <w:rStyle w:val="35"/>
          <w:rFonts w:hint="eastAsia"/>
          <w:b/>
          <w:bCs/>
          <w:color w:val="auto"/>
        </w:rPr>
        <w:t>技术标部分</w:t>
      </w:r>
      <w:bookmarkEnd w:id="150"/>
      <w:bookmarkEnd w:id="151"/>
      <w:bookmarkEnd w:id="152"/>
    </w:p>
    <w:p w14:paraId="14634773">
      <w:pPr>
        <w:jc w:val="center"/>
        <w:rPr>
          <w:rFonts w:hint="eastAsia" w:ascii="宋体" w:hAnsi="宋体" w:cs="宋体"/>
          <w:b/>
          <w:bCs/>
          <w:color w:val="auto"/>
          <w:sz w:val="24"/>
        </w:rPr>
      </w:pPr>
      <w:r>
        <w:rPr>
          <w:rFonts w:hint="eastAsia" w:ascii="宋体" w:hAnsi="宋体" w:cs="宋体"/>
          <w:b/>
          <w:bCs/>
          <w:color w:val="auto"/>
          <w:sz w:val="24"/>
        </w:rPr>
        <w:t>（格式自拟）</w:t>
      </w:r>
    </w:p>
    <w:p w14:paraId="779C0864">
      <w:pPr>
        <w:numPr>
          <w:ilvl w:val="0"/>
          <w:numId w:val="0"/>
        </w:numPr>
        <w:rPr>
          <w:rFonts w:hint="eastAsia"/>
          <w:color w:val="auto"/>
        </w:rPr>
      </w:pPr>
    </w:p>
    <w:p w14:paraId="56201A5F">
      <w:pPr>
        <w:spacing w:line="500" w:lineRule="exact"/>
        <w:jc w:val="center"/>
        <w:rPr>
          <w:rFonts w:hint="eastAsia" w:ascii="宋体" w:hAnsi="宋体" w:cs="宋体"/>
          <w:color w:val="auto"/>
          <w:sz w:val="24"/>
        </w:rPr>
      </w:pPr>
      <w:r>
        <w:rPr>
          <w:rFonts w:hint="eastAsia" w:ascii="宋体" w:hAnsi="宋体" w:cs="宋体"/>
          <w:color w:val="auto"/>
          <w:sz w:val="24"/>
        </w:rPr>
        <w:t xml:space="preserve"> </w:t>
      </w:r>
    </w:p>
    <w:p w14:paraId="6F1E6645">
      <w:pPr>
        <w:jc w:val="center"/>
        <w:rPr>
          <w:rFonts w:hint="eastAsia"/>
          <w:color w:val="auto"/>
        </w:rPr>
      </w:pPr>
      <w:bookmarkStart w:id="153" w:name="_Toc12073"/>
      <w:bookmarkEnd w:id="153"/>
      <w:r>
        <w:rPr>
          <w:rFonts w:hint="eastAsia"/>
          <w:color w:val="auto"/>
        </w:rPr>
        <w:br w:type="page"/>
      </w:r>
      <w:bookmarkStart w:id="154" w:name="_Toc2770"/>
      <w:bookmarkEnd w:id="154"/>
      <w:bookmarkStart w:id="155" w:name="_Toc20210"/>
      <w:bookmarkStart w:id="156" w:name="_Toc4724"/>
    </w:p>
    <w:p w14:paraId="42363D4D">
      <w:pPr>
        <w:pStyle w:val="2"/>
        <w:numPr>
          <w:ilvl w:val="0"/>
          <w:numId w:val="3"/>
        </w:numPr>
        <w:ind w:left="420"/>
        <w:jc w:val="center"/>
        <w:rPr>
          <w:rFonts w:hint="eastAsia"/>
          <w:color w:val="auto"/>
        </w:rPr>
      </w:pPr>
      <w:r>
        <w:rPr>
          <w:rFonts w:hint="eastAsia"/>
          <w:color w:val="auto"/>
        </w:rPr>
        <w:t>供应商资格证明</w:t>
      </w:r>
      <w:bookmarkEnd w:id="155"/>
      <w:bookmarkEnd w:id="156"/>
      <w:r>
        <w:rPr>
          <w:rFonts w:hint="eastAsia"/>
          <w:color w:val="auto"/>
        </w:rPr>
        <w:t>材料</w:t>
      </w:r>
    </w:p>
    <w:p w14:paraId="6BFD1DD0">
      <w:pPr>
        <w:jc w:val="center"/>
        <w:rPr>
          <w:rFonts w:hint="eastAsia" w:ascii="宋体" w:hAnsi="宋体" w:cs="宋体"/>
          <w:b/>
          <w:bCs/>
          <w:color w:val="auto"/>
          <w:sz w:val="24"/>
        </w:rPr>
      </w:pPr>
      <w:r>
        <w:rPr>
          <w:rFonts w:hint="eastAsia" w:ascii="宋体" w:hAnsi="宋体" w:cs="宋体"/>
          <w:b/>
          <w:bCs/>
          <w:color w:val="auto"/>
          <w:sz w:val="24"/>
        </w:rPr>
        <w:t>（格式自拟）</w:t>
      </w:r>
    </w:p>
    <w:p w14:paraId="2504F689">
      <w:pPr>
        <w:numPr>
          <w:ilvl w:val="0"/>
          <w:numId w:val="0"/>
        </w:numPr>
        <w:rPr>
          <w:color w:val="auto"/>
        </w:rPr>
      </w:pPr>
    </w:p>
    <w:p w14:paraId="337A2929">
      <w:pPr>
        <w:jc w:val="center"/>
        <w:rPr>
          <w:rFonts w:hint="eastAsia" w:ascii="宋体" w:hAnsi="宋体" w:cs="宋体"/>
          <w:color w:val="auto"/>
          <w:sz w:val="24"/>
        </w:rPr>
      </w:pPr>
      <w:bookmarkStart w:id="157" w:name="_Toc361989464"/>
      <w:bookmarkEnd w:id="157"/>
      <w:r>
        <w:rPr>
          <w:rFonts w:hint="eastAsia" w:ascii="宋体" w:hAnsi="宋体" w:cs="宋体"/>
          <w:color w:val="auto"/>
          <w:sz w:val="24"/>
        </w:rPr>
        <w:br w:type="page"/>
      </w:r>
      <w:bookmarkStart w:id="158" w:name="_Toc361989467"/>
      <w:bookmarkEnd w:id="158"/>
      <w:bookmarkStart w:id="159" w:name="_Toc244934216"/>
      <w:bookmarkEnd w:id="159"/>
      <w:bookmarkStart w:id="160" w:name="_Toc361989466"/>
      <w:bookmarkEnd w:id="160"/>
      <w:bookmarkStart w:id="161" w:name="_Toc234213567"/>
      <w:bookmarkEnd w:id="161"/>
      <w:bookmarkStart w:id="162" w:name="_Toc528078075"/>
      <w:bookmarkEnd w:id="162"/>
      <w:bookmarkStart w:id="163" w:name="_Toc7868"/>
    </w:p>
    <w:p w14:paraId="089708C8">
      <w:pPr>
        <w:pStyle w:val="2"/>
        <w:numPr>
          <w:ilvl w:val="0"/>
          <w:numId w:val="0"/>
        </w:numPr>
        <w:ind w:left="420"/>
        <w:jc w:val="center"/>
        <w:rPr>
          <w:color w:val="auto"/>
        </w:rPr>
      </w:pPr>
      <w:r>
        <w:rPr>
          <w:rFonts w:hint="eastAsia"/>
          <w:color w:val="auto"/>
          <w:lang w:eastAsia="zh-CN"/>
        </w:rPr>
        <w:t>七</w:t>
      </w:r>
      <w:r>
        <w:rPr>
          <w:rFonts w:hint="eastAsia"/>
          <w:color w:val="auto"/>
        </w:rPr>
        <w:t>、</w:t>
      </w:r>
      <w:bookmarkEnd w:id="163"/>
      <w:r>
        <w:rPr>
          <w:rFonts w:hint="eastAsia"/>
          <w:color w:val="auto"/>
          <w:lang w:val="en-US" w:eastAsia="zh-CN"/>
        </w:rPr>
        <w:t>商务</w:t>
      </w:r>
      <w:r>
        <w:rPr>
          <w:rFonts w:hint="eastAsia"/>
          <w:color w:val="auto"/>
        </w:rPr>
        <w:t>标部分</w:t>
      </w:r>
    </w:p>
    <w:p w14:paraId="7B5E1DBB">
      <w:pPr>
        <w:jc w:val="center"/>
        <w:rPr>
          <w:rFonts w:hint="eastAsia" w:ascii="宋体" w:hAnsi="宋体" w:cs="宋体"/>
          <w:b/>
          <w:bCs/>
          <w:color w:val="auto"/>
          <w:sz w:val="24"/>
        </w:rPr>
      </w:pPr>
      <w:bookmarkStart w:id="164" w:name="OLE_LINK19"/>
      <w:r>
        <w:rPr>
          <w:rFonts w:hint="eastAsia" w:ascii="宋体" w:hAnsi="宋体" w:cs="宋体"/>
          <w:b/>
          <w:bCs/>
          <w:color w:val="auto"/>
          <w:sz w:val="24"/>
        </w:rPr>
        <w:t>（格式自拟）</w:t>
      </w:r>
    </w:p>
    <w:bookmarkEnd w:id="164"/>
    <w:p w14:paraId="1C61C05A">
      <w:pPr>
        <w:pStyle w:val="2"/>
        <w:numPr>
          <w:ilvl w:val="0"/>
          <w:numId w:val="0"/>
        </w:numPr>
        <w:ind w:left="420"/>
        <w:jc w:val="center"/>
        <w:rPr>
          <w:rFonts w:hint="eastAsia"/>
          <w:color w:val="auto"/>
        </w:rPr>
      </w:pPr>
      <w:r>
        <w:rPr>
          <w:rFonts w:hint="eastAsia" w:ascii="宋体" w:hAnsi="宋体" w:cs="宋体"/>
          <w:b w:val="0"/>
          <w:bCs/>
          <w:color w:val="auto"/>
          <w:sz w:val="24"/>
        </w:rPr>
        <w:br w:type="page"/>
      </w:r>
      <w:bookmarkStart w:id="165" w:name="_Toc528078076"/>
      <w:bookmarkEnd w:id="165"/>
      <w:bookmarkStart w:id="166" w:name="_Toc244934217"/>
      <w:bookmarkEnd w:id="166"/>
      <w:bookmarkStart w:id="167" w:name="_Toc361989468"/>
      <w:bookmarkEnd w:id="167"/>
      <w:bookmarkStart w:id="168" w:name="_Toc23775"/>
      <w:r>
        <w:rPr>
          <w:rFonts w:hint="eastAsia"/>
          <w:color w:val="auto"/>
          <w:lang w:eastAsia="zh-CN"/>
        </w:rPr>
        <w:t>八</w:t>
      </w:r>
      <w:r>
        <w:rPr>
          <w:rFonts w:hint="eastAsia"/>
          <w:color w:val="auto"/>
        </w:rPr>
        <w:t>、其他资料</w:t>
      </w:r>
      <w:bookmarkEnd w:id="168"/>
    </w:p>
    <w:p w14:paraId="50054E46">
      <w:pPr>
        <w:rPr>
          <w:rFonts w:hint="eastAsia" w:ascii="宋体" w:hAnsi="宋体" w:cs="宋体"/>
          <w:b/>
          <w:bCs/>
          <w:color w:val="auto"/>
          <w:sz w:val="24"/>
        </w:rPr>
      </w:pPr>
      <w:r>
        <w:rPr>
          <w:rFonts w:hint="eastAsia" w:ascii="宋体" w:hAnsi="宋体" w:cs="宋体"/>
          <w:b/>
          <w:bCs/>
          <w:color w:val="auto"/>
          <w:sz w:val="24"/>
        </w:rPr>
        <w:t xml:space="preserve"> </w:t>
      </w:r>
    </w:p>
    <w:p w14:paraId="4D5C635F">
      <w:pPr>
        <w:jc w:val="center"/>
        <w:rPr>
          <w:rFonts w:hint="eastAsia" w:ascii="宋体" w:hAnsi="宋体" w:cs="宋体"/>
          <w:b/>
          <w:bCs/>
          <w:color w:val="auto"/>
          <w:sz w:val="24"/>
        </w:rPr>
      </w:pPr>
      <w:r>
        <w:rPr>
          <w:rFonts w:hint="eastAsia" w:ascii="宋体" w:hAnsi="宋体" w:cs="宋体"/>
          <w:b/>
          <w:bCs/>
          <w:color w:val="auto"/>
          <w:sz w:val="24"/>
        </w:rPr>
        <w:t>（供应商认为应该提交的资料）</w:t>
      </w:r>
    </w:p>
    <w:p w14:paraId="533B278D">
      <w:pPr>
        <w:pStyle w:val="2"/>
        <w:wordWrap w:val="0"/>
        <w:spacing w:line="240" w:lineRule="auto"/>
        <w:ind w:right="210"/>
        <w:rPr>
          <w:rFonts w:hint="eastAsia" w:ascii="宋体" w:hAnsi="宋体" w:cs="宋体"/>
          <w:color w:val="auto"/>
        </w:rPr>
      </w:pPr>
      <w:r>
        <w:rPr>
          <w:rFonts w:hint="eastAsia" w:ascii="宋体" w:hAnsi="宋体" w:cs="宋体"/>
          <w:b w:val="0"/>
          <w:bCs/>
          <w:color w:val="auto"/>
        </w:rPr>
        <w:br w:type="page"/>
      </w:r>
      <w:bookmarkStart w:id="169" w:name="_Toc18047"/>
      <w:r>
        <w:rPr>
          <w:rFonts w:hint="eastAsia" w:ascii="宋体" w:hAnsi="宋体" w:cs="宋体"/>
          <w:bCs/>
          <w:color w:val="auto"/>
        </w:rPr>
        <w:t>附件：享受政府采购政策的证明材料</w:t>
      </w:r>
      <w:bookmarkEnd w:id="169"/>
    </w:p>
    <w:p w14:paraId="2F8903AE">
      <w:pPr>
        <w:widowControl/>
        <w:wordWrap w:val="0"/>
        <w:spacing w:line="240" w:lineRule="auto"/>
        <w:ind w:firstLine="604" w:firstLineChars="216"/>
        <w:jc w:val="center"/>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eastAsia="宋体" w:cs="宋体"/>
          <w:color w:val="auto"/>
          <w:sz w:val="24"/>
        </w:rPr>
        <w:t>如有时提供</w:t>
      </w:r>
      <w:r>
        <w:rPr>
          <w:rFonts w:hint="eastAsia" w:ascii="宋体" w:hAnsi="宋体" w:cs="宋体"/>
          <w:color w:val="auto"/>
          <w:sz w:val="28"/>
          <w:szCs w:val="28"/>
        </w:rPr>
        <w:t>）</w:t>
      </w:r>
    </w:p>
    <w:p w14:paraId="3A129044">
      <w:pPr>
        <w:pStyle w:val="3"/>
        <w:wordWrap w:val="0"/>
        <w:rPr>
          <w:rFonts w:hint="eastAsia" w:ascii="宋体" w:hAnsi="宋体" w:eastAsia="宋体" w:cs="宋体"/>
          <w:b w:val="0"/>
          <w:bCs w:val="0"/>
          <w:color w:val="auto"/>
          <w:kern w:val="2"/>
          <w:sz w:val="24"/>
          <w:szCs w:val="24"/>
          <w:lang w:val="zh-CN" w:eastAsia="zh-CN" w:bidi="ar-SA"/>
        </w:rPr>
      </w:pPr>
      <w:bookmarkStart w:id="170" w:name="_Toc64995450"/>
      <w:r>
        <w:rPr>
          <w:rFonts w:hint="eastAsia" w:ascii="宋体" w:hAnsi="宋体" w:eastAsia="宋体" w:cs="宋体"/>
          <w:b w:val="0"/>
          <w:bCs w:val="0"/>
          <w:color w:val="auto"/>
          <w:kern w:val="2"/>
          <w:sz w:val="24"/>
          <w:szCs w:val="24"/>
          <w:lang w:val="zh-CN" w:eastAsia="zh-CN" w:bidi="ar-SA"/>
        </w:rPr>
        <w:t>1、中小企业声明函</w:t>
      </w:r>
      <w:bookmarkEnd w:id="170"/>
    </w:p>
    <w:p w14:paraId="13E2FBA5">
      <w:pPr>
        <w:wordWrap w:val="0"/>
        <w:autoSpaceDE w:val="0"/>
        <w:autoSpaceDN w:val="0"/>
        <w:spacing w:before="226" w:line="360" w:lineRule="auto"/>
        <w:ind w:right="535" w:rightChars="255" w:firstLine="518" w:firstLineChars="216"/>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14:paraId="6B217D06">
      <w:pPr>
        <w:wordWrap w:val="0"/>
        <w:autoSpaceDE w:val="0"/>
        <w:autoSpaceDN w:val="0"/>
        <w:spacing w:line="360" w:lineRule="auto"/>
        <w:ind w:right="535" w:rightChars="255" w:firstLine="518" w:firstLineChars="216"/>
        <w:jc w:val="left"/>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u w:val="single"/>
        </w:rPr>
        <w:t xml:space="preserve">（标的名称）  </w:t>
      </w:r>
      <w:r>
        <w:rPr>
          <w:rFonts w:hint="eastAsia" w:ascii="宋体" w:hAnsi="宋体" w:cs="宋体"/>
          <w:color w:val="auto"/>
          <w:sz w:val="24"/>
        </w:rPr>
        <w:t xml:space="preserve"> ，属于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行业 ；制造商为 </w:t>
      </w:r>
      <w:r>
        <w:rPr>
          <w:rFonts w:hint="eastAsia" w:ascii="宋体" w:hAnsi="宋体" w:cs="宋体"/>
          <w:color w:val="auto"/>
          <w:sz w:val="24"/>
          <w:u w:val="single"/>
        </w:rPr>
        <w:t xml:space="preserve">（企业名称）   </w:t>
      </w:r>
      <w:r>
        <w:rPr>
          <w:rFonts w:hint="eastAsia" w:ascii="宋体" w:hAnsi="宋体" w:cs="宋体"/>
          <w:color w:val="auto"/>
          <w:sz w:val="24"/>
        </w:rPr>
        <w:t xml:space="preserve">，从业人员人，营业收入为万元，资产总额为万元，属于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 xml:space="preserve"> ；</w:t>
      </w:r>
    </w:p>
    <w:p w14:paraId="68FD579F">
      <w:pPr>
        <w:wordWrap w:val="0"/>
        <w:autoSpaceDE w:val="0"/>
        <w:autoSpaceDN w:val="0"/>
        <w:spacing w:line="360" w:lineRule="auto"/>
        <w:ind w:right="535" w:rightChars="255" w:firstLine="518" w:firstLineChars="216"/>
        <w:jc w:val="left"/>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u w:val="single"/>
        </w:rPr>
        <w:t xml:space="preserve">（标的名称）  </w:t>
      </w:r>
      <w:r>
        <w:rPr>
          <w:rFonts w:hint="eastAsia" w:ascii="宋体" w:hAnsi="宋体" w:cs="宋体"/>
          <w:color w:val="auto"/>
          <w:sz w:val="24"/>
        </w:rPr>
        <w:t xml:space="preserve"> ，属于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行业 ；制造商为 </w:t>
      </w:r>
      <w:r>
        <w:rPr>
          <w:rFonts w:hint="eastAsia" w:ascii="宋体" w:hAnsi="宋体" w:cs="宋体"/>
          <w:color w:val="auto"/>
          <w:sz w:val="24"/>
          <w:u w:val="single"/>
        </w:rPr>
        <w:t xml:space="preserve">（企业名称）   </w:t>
      </w:r>
      <w:r>
        <w:rPr>
          <w:rFonts w:hint="eastAsia" w:ascii="宋体" w:hAnsi="宋体" w:cs="宋体"/>
          <w:color w:val="auto"/>
          <w:sz w:val="24"/>
        </w:rPr>
        <w:t xml:space="preserve">，从业人员人，营业收入为万元，资产总额为万元，属于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 xml:space="preserve"> ；</w:t>
      </w:r>
    </w:p>
    <w:p w14:paraId="2A46061F">
      <w:pPr>
        <w:wordWrap w:val="0"/>
        <w:autoSpaceDE w:val="0"/>
        <w:autoSpaceDN w:val="0"/>
        <w:spacing w:line="360" w:lineRule="auto"/>
        <w:ind w:right="535" w:rightChars="255" w:firstLine="518" w:firstLineChars="216"/>
        <w:jc w:val="left"/>
        <w:rPr>
          <w:rFonts w:hint="eastAsia" w:ascii="宋体" w:hAnsi="宋体" w:cs="宋体"/>
          <w:color w:val="auto"/>
          <w:sz w:val="24"/>
        </w:rPr>
      </w:pPr>
      <w:r>
        <w:rPr>
          <w:rFonts w:hint="eastAsia" w:ascii="宋体" w:hAnsi="宋体" w:cs="宋体"/>
          <w:color w:val="auto"/>
          <w:sz w:val="24"/>
        </w:rPr>
        <w:t>……</w:t>
      </w:r>
    </w:p>
    <w:p w14:paraId="6D9A0F9E">
      <w:pPr>
        <w:wordWrap w:val="0"/>
        <w:autoSpaceDE w:val="0"/>
        <w:autoSpaceDN w:val="0"/>
        <w:spacing w:line="360" w:lineRule="auto"/>
        <w:ind w:right="535" w:rightChars="255" w:firstLine="518" w:firstLineChars="216"/>
        <w:jc w:val="left"/>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  业的负责人为同一人的情形。</w:t>
      </w:r>
    </w:p>
    <w:p w14:paraId="4973061D">
      <w:pPr>
        <w:wordWrap w:val="0"/>
        <w:autoSpaceDE w:val="0"/>
        <w:autoSpaceDN w:val="0"/>
        <w:spacing w:before="118" w:line="360" w:lineRule="auto"/>
        <w:ind w:right="535" w:rightChars="255" w:firstLine="518" w:firstLineChars="216"/>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835BE51">
      <w:pPr>
        <w:tabs>
          <w:tab w:val="left" w:pos="6218"/>
          <w:tab w:val="left" w:pos="7058"/>
          <w:tab w:val="left" w:pos="7687"/>
          <w:tab w:val="left" w:pos="8475"/>
        </w:tabs>
        <w:wordWrap w:val="0"/>
        <w:autoSpaceDE w:val="0"/>
        <w:autoSpaceDN w:val="0"/>
        <w:spacing w:before="159" w:line="360" w:lineRule="auto"/>
        <w:ind w:right="1983" w:firstLine="518" w:firstLineChars="216"/>
        <w:jc w:val="left"/>
        <w:rPr>
          <w:rFonts w:hint="eastAsia" w:ascii="宋体" w:hAnsi="宋体" w:cs="宋体"/>
          <w:color w:val="auto"/>
          <w:sz w:val="24"/>
        </w:rPr>
      </w:pPr>
      <w:r>
        <w:rPr>
          <w:rFonts w:hint="eastAsia" w:ascii="宋体" w:hAnsi="宋体" w:cs="宋体"/>
          <w:color w:val="auto"/>
          <w:sz w:val="24"/>
        </w:rPr>
        <w:t>企业名称（盖章）：</w:t>
      </w:r>
      <w:r>
        <w:rPr>
          <w:rFonts w:hint="eastAsia" w:ascii="宋体" w:hAnsi="宋体" w:cs="宋体"/>
          <w:color w:val="auto"/>
          <w:sz w:val="24"/>
        </w:rPr>
        <w:tab/>
      </w:r>
      <w:r>
        <w:rPr>
          <w:rFonts w:hint="eastAsia" w:ascii="宋体" w:hAnsi="宋体" w:cs="宋体"/>
          <w:color w:val="auto"/>
          <w:sz w:val="24"/>
        </w:rPr>
        <w:tab/>
      </w:r>
    </w:p>
    <w:p w14:paraId="00780E4F">
      <w:pPr>
        <w:tabs>
          <w:tab w:val="left" w:pos="5275"/>
          <w:tab w:val="left" w:pos="7058"/>
          <w:tab w:val="left" w:pos="7687"/>
          <w:tab w:val="left" w:pos="8475"/>
        </w:tabs>
        <w:wordWrap w:val="0"/>
        <w:autoSpaceDE w:val="0"/>
        <w:autoSpaceDN w:val="0"/>
        <w:spacing w:before="159" w:line="360" w:lineRule="auto"/>
        <w:ind w:right="1983" w:firstLine="518" w:firstLineChars="216"/>
        <w:jc w:val="left"/>
        <w:rPr>
          <w:rFonts w:hint="eastAsia" w:ascii="宋体" w:hAnsi="宋体" w:cs="宋体"/>
          <w:color w:val="auto"/>
          <w:sz w:val="24"/>
        </w:rPr>
      </w:pPr>
      <w:r>
        <w:rPr>
          <w:rFonts w:hint="eastAsia" w:ascii="宋体" w:hAnsi="宋体" w:cs="宋体"/>
          <w:color w:val="auto"/>
          <w:sz w:val="24"/>
        </w:rPr>
        <w:t>日期：  年  月   日</w:t>
      </w:r>
    </w:p>
    <w:p w14:paraId="43D5C06C">
      <w:pPr>
        <w:wordWrap w:val="0"/>
        <w:autoSpaceDE w:val="0"/>
        <w:autoSpaceDN w:val="0"/>
        <w:spacing w:line="400" w:lineRule="exact"/>
        <w:ind w:firstLine="518" w:firstLineChars="216"/>
        <w:jc w:val="left"/>
        <w:rPr>
          <w:rFonts w:hint="eastAsia" w:ascii="宋体" w:hAnsi="宋体" w:cs="宋体"/>
          <w:color w:val="auto"/>
          <w:sz w:val="24"/>
        </w:rPr>
      </w:pPr>
      <w:r>
        <w:rPr>
          <w:rFonts w:hint="eastAsia" w:ascii="宋体" w:hAnsi="宋体" w:cs="宋体"/>
          <w:color w:val="auto"/>
          <w:sz w:val="24"/>
        </w:rPr>
        <w:t>说明：</w:t>
      </w:r>
    </w:p>
    <w:p w14:paraId="6A2C77FE">
      <w:pPr>
        <w:wordWrap w:val="0"/>
        <w:autoSpaceDE w:val="0"/>
        <w:autoSpaceDN w:val="0"/>
        <w:spacing w:before="139" w:line="400" w:lineRule="exact"/>
        <w:ind w:right="438" w:firstLine="518" w:firstLineChars="216"/>
        <w:jc w:val="left"/>
        <w:rPr>
          <w:rFonts w:hint="eastAsia" w:ascii="宋体" w:hAnsi="宋体" w:cs="宋体"/>
          <w:color w:val="auto"/>
          <w:sz w:val="24"/>
        </w:rPr>
      </w:pPr>
      <w:r>
        <w:rPr>
          <w:rFonts w:hint="eastAsia" w:ascii="宋体" w:hAnsi="宋体" w:cs="宋体"/>
          <w:color w:val="auto"/>
          <w:sz w:val="24"/>
        </w:rPr>
        <w:t>1、填写前请认真阅读《财政部、工业和信息化部关于印发《政府采购促进中小企业发展管理办法》的通知（财库[2020]46 号）相关规定。</w:t>
      </w:r>
    </w:p>
    <w:p w14:paraId="781CEA1F">
      <w:pPr>
        <w:wordWrap w:val="0"/>
        <w:autoSpaceDE w:val="0"/>
        <w:autoSpaceDN w:val="0"/>
        <w:spacing w:line="400" w:lineRule="exact"/>
        <w:ind w:firstLine="518" w:firstLineChars="216"/>
        <w:jc w:val="left"/>
        <w:rPr>
          <w:rFonts w:hint="eastAsia" w:ascii="宋体" w:hAnsi="宋体" w:cs="宋体"/>
          <w:color w:val="auto"/>
          <w:sz w:val="24"/>
        </w:rPr>
      </w:pPr>
      <w:r>
        <w:rPr>
          <w:rFonts w:hint="eastAsia" w:ascii="宋体" w:hAnsi="宋体" w:cs="宋体"/>
          <w:color w:val="auto"/>
          <w:sz w:val="24"/>
        </w:rPr>
        <w:t>2、从业人员、营业收入、资产总额填报上一年度数据，无上一年度数据的新成立企业可不填报。</w:t>
      </w:r>
    </w:p>
    <w:p w14:paraId="48CA2DC9">
      <w:pPr>
        <w:wordWrap w:val="0"/>
        <w:autoSpaceDE w:val="0"/>
        <w:autoSpaceDN w:val="0"/>
        <w:spacing w:before="139" w:line="400" w:lineRule="exact"/>
        <w:ind w:firstLine="518" w:firstLineChars="216"/>
        <w:jc w:val="left"/>
        <w:rPr>
          <w:rFonts w:hint="eastAsia" w:ascii="宋体" w:hAnsi="宋体" w:cs="宋体"/>
          <w:color w:val="auto"/>
          <w:sz w:val="24"/>
        </w:rPr>
        <w:sectPr>
          <w:pgSz w:w="11906" w:h="16838"/>
          <w:pgMar w:top="1440" w:right="1800" w:bottom="1440" w:left="1800" w:header="0" w:footer="506" w:gutter="0"/>
          <w:pgNumType w:fmt="decimal"/>
          <w:cols w:space="720" w:num="1"/>
        </w:sectPr>
      </w:pPr>
      <w:r>
        <w:rPr>
          <w:rFonts w:hint="eastAsia" w:ascii="宋体" w:hAnsi="宋体" w:cs="宋体"/>
          <w:color w:val="auto"/>
          <w:sz w:val="24"/>
        </w:rPr>
        <w:t>3、未按上述要求提供、填写的，评审时不予以考虑。</w:t>
      </w:r>
    </w:p>
    <w:p w14:paraId="52846205">
      <w:pPr>
        <w:pStyle w:val="3"/>
        <w:wordWrap w:val="0"/>
        <w:spacing w:line="360" w:lineRule="auto"/>
        <w:rPr>
          <w:rFonts w:hint="eastAsia" w:ascii="宋体" w:hAnsi="宋体" w:cs="宋体"/>
          <w:b w:val="0"/>
          <w:color w:val="auto"/>
          <w:kern w:val="0"/>
          <w:sz w:val="28"/>
          <w:szCs w:val="28"/>
          <w:lang w:val="zh-CN" w:bidi="zh-CN"/>
        </w:rPr>
      </w:pPr>
      <w:bookmarkStart w:id="171" w:name="_Toc64995451"/>
      <w:r>
        <w:rPr>
          <w:rFonts w:hint="eastAsia" w:ascii="宋体" w:hAnsi="宋体" w:eastAsia="宋体" w:cs="宋体"/>
          <w:b w:val="0"/>
          <w:bCs w:val="0"/>
          <w:color w:val="auto"/>
          <w:kern w:val="2"/>
          <w:sz w:val="24"/>
          <w:szCs w:val="24"/>
          <w:lang w:val="zh-CN" w:eastAsia="zh-CN" w:bidi="ar-SA"/>
        </w:rPr>
        <w:t>2、残疾人福利性单位声明函</w:t>
      </w:r>
      <w:bookmarkEnd w:id="171"/>
    </w:p>
    <w:p w14:paraId="06A9B423">
      <w:pPr>
        <w:wordWrap w:val="0"/>
        <w:autoSpaceDE w:val="0"/>
        <w:autoSpaceDN w:val="0"/>
        <w:spacing w:line="360" w:lineRule="auto"/>
        <w:ind w:right="437" w:firstLine="518" w:firstLineChars="216"/>
        <w:jc w:val="left"/>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 财库〔2017〕141 号） 的规定， 本单位为符合条件的残疾人福利性单位， 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项目采购活动提供本单位制造的产品（由本单位承担货物/提供服务），或者提供其他残疾人福利性单位制造的产品（不包括使用非残疾人福利性单位注册商标的产品）。</w:t>
      </w:r>
    </w:p>
    <w:p w14:paraId="40B2D09D">
      <w:pPr>
        <w:wordWrap w:val="0"/>
        <w:autoSpaceDE w:val="0"/>
        <w:autoSpaceDN w:val="0"/>
        <w:spacing w:line="360" w:lineRule="auto"/>
        <w:ind w:firstLine="518" w:firstLineChars="216"/>
        <w:jc w:val="left"/>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7CDFF1B5">
      <w:pPr>
        <w:wordWrap w:val="0"/>
        <w:autoSpaceDE w:val="0"/>
        <w:autoSpaceDN w:val="0"/>
        <w:spacing w:line="360" w:lineRule="auto"/>
        <w:ind w:firstLine="518" w:firstLineChars="216"/>
        <w:jc w:val="left"/>
        <w:rPr>
          <w:rFonts w:hint="eastAsia" w:ascii="宋体" w:hAnsi="宋体" w:cs="宋体"/>
          <w:color w:val="auto"/>
          <w:kern w:val="0"/>
          <w:sz w:val="24"/>
          <w:lang w:val="zh-CN" w:bidi="zh-CN"/>
        </w:rPr>
      </w:pPr>
    </w:p>
    <w:p w14:paraId="74969E24">
      <w:pPr>
        <w:wordWrap w:val="0"/>
        <w:autoSpaceDE w:val="0"/>
        <w:autoSpaceDN w:val="0"/>
        <w:spacing w:before="11" w:line="360" w:lineRule="auto"/>
        <w:ind w:firstLine="518" w:firstLineChars="216"/>
        <w:jc w:val="left"/>
        <w:rPr>
          <w:rFonts w:hint="eastAsia" w:ascii="宋体" w:hAnsi="宋体" w:cs="宋体"/>
          <w:color w:val="auto"/>
          <w:kern w:val="0"/>
          <w:sz w:val="24"/>
          <w:lang w:val="zh-CN" w:bidi="zh-CN"/>
        </w:rPr>
      </w:pPr>
    </w:p>
    <w:p w14:paraId="682D9116">
      <w:pPr>
        <w:wordWrap w:val="0"/>
        <w:autoSpaceDE w:val="0"/>
        <w:autoSpaceDN w:val="0"/>
        <w:spacing w:line="360" w:lineRule="auto"/>
        <w:ind w:firstLine="518" w:firstLineChars="216"/>
        <w:jc w:val="left"/>
        <w:rPr>
          <w:rFonts w:hint="eastAsia" w:ascii="宋体" w:hAnsi="宋体" w:cs="宋体"/>
          <w:color w:val="auto"/>
          <w:kern w:val="0"/>
          <w:sz w:val="24"/>
          <w:lang w:val="zh-CN" w:bidi="zh-CN"/>
        </w:rPr>
      </w:pPr>
      <w:r>
        <w:rPr>
          <w:rFonts w:hint="eastAsia" w:ascii="宋体" w:hAnsi="宋体" w:cs="宋体"/>
          <w:color w:val="auto"/>
          <w:kern w:val="0"/>
          <w:sz w:val="24"/>
          <w:lang w:val="zh-CN" w:bidi="zh-CN"/>
        </w:rPr>
        <w:t>单位名称（盖章）：__________________</w:t>
      </w:r>
    </w:p>
    <w:p w14:paraId="54141DD5">
      <w:pPr>
        <w:tabs>
          <w:tab w:val="left" w:pos="5785"/>
        </w:tabs>
        <w:wordWrap w:val="0"/>
        <w:autoSpaceDE w:val="0"/>
        <w:autoSpaceDN w:val="0"/>
        <w:spacing w:before="139" w:line="360" w:lineRule="auto"/>
        <w:ind w:firstLine="518" w:firstLineChars="216"/>
        <w:jc w:val="left"/>
        <w:rPr>
          <w:rFonts w:hint="eastAsia" w:ascii="宋体" w:hAnsi="宋体" w:cs="宋体"/>
          <w:color w:val="auto"/>
          <w:kern w:val="0"/>
          <w:sz w:val="24"/>
          <w:lang w:val="zh-CN" w:bidi="zh-CN"/>
        </w:rPr>
      </w:pPr>
      <w:r>
        <w:rPr>
          <w:rFonts w:hint="eastAsia" w:ascii="宋体" w:hAnsi="宋体" w:cs="宋体"/>
          <w:color w:val="auto"/>
          <w:kern w:val="0"/>
          <w:sz w:val="24"/>
          <w:lang w:val="zh-CN" w:bidi="zh-CN"/>
        </w:rPr>
        <w:t xml:space="preserve">日       </w:t>
      </w:r>
      <w:r>
        <w:rPr>
          <w:rFonts w:hint="eastAsia" w:ascii="宋体" w:hAnsi="宋体" w:cs="宋体"/>
          <w:color w:val="auto"/>
          <w:spacing w:val="7"/>
          <w:kern w:val="0"/>
          <w:sz w:val="24"/>
          <w:lang w:val="zh-CN" w:bidi="zh-CN"/>
        </w:rPr>
        <w:t>期</w:t>
      </w:r>
      <w:r>
        <w:rPr>
          <w:rFonts w:hint="eastAsia" w:ascii="宋体" w:hAnsi="宋体" w:cs="宋体"/>
          <w:color w:val="auto"/>
          <w:spacing w:val="5"/>
          <w:kern w:val="0"/>
          <w:sz w:val="24"/>
          <w:lang w:val="zh-CN" w:bidi="zh-CN"/>
        </w:rPr>
        <w:t>：__________________</w:t>
      </w:r>
    </w:p>
    <w:p w14:paraId="0E78DE49">
      <w:pPr>
        <w:wordWrap w:val="0"/>
        <w:autoSpaceDE w:val="0"/>
        <w:autoSpaceDN w:val="0"/>
        <w:spacing w:line="360" w:lineRule="auto"/>
        <w:ind w:firstLine="604" w:firstLineChars="216"/>
        <w:jc w:val="left"/>
        <w:rPr>
          <w:rFonts w:hint="eastAsia" w:ascii="宋体" w:hAnsi="宋体" w:cs="宋体"/>
          <w:color w:val="auto"/>
          <w:kern w:val="0"/>
          <w:sz w:val="28"/>
          <w:szCs w:val="28"/>
          <w:lang w:val="zh-CN" w:bidi="zh-CN"/>
        </w:rPr>
      </w:pPr>
    </w:p>
    <w:p w14:paraId="42D17268">
      <w:pPr>
        <w:wordWrap w:val="0"/>
        <w:autoSpaceDE w:val="0"/>
        <w:autoSpaceDN w:val="0"/>
        <w:spacing w:line="360" w:lineRule="auto"/>
        <w:ind w:firstLine="604" w:firstLineChars="216"/>
        <w:jc w:val="left"/>
        <w:rPr>
          <w:rFonts w:hint="eastAsia" w:ascii="宋体" w:hAnsi="宋体" w:cs="宋体"/>
          <w:color w:val="auto"/>
          <w:kern w:val="0"/>
          <w:sz w:val="28"/>
          <w:szCs w:val="28"/>
          <w:lang w:val="zh-CN" w:bidi="zh-CN"/>
        </w:rPr>
      </w:pPr>
    </w:p>
    <w:p w14:paraId="11ABCEB7">
      <w:pPr>
        <w:wordWrap w:val="0"/>
        <w:autoSpaceDE w:val="0"/>
        <w:autoSpaceDN w:val="0"/>
        <w:spacing w:line="360" w:lineRule="auto"/>
        <w:ind w:firstLine="604" w:firstLineChars="216"/>
        <w:jc w:val="left"/>
        <w:rPr>
          <w:rFonts w:hint="eastAsia" w:ascii="宋体" w:hAnsi="宋体" w:cs="宋体"/>
          <w:color w:val="auto"/>
          <w:kern w:val="0"/>
          <w:sz w:val="28"/>
          <w:szCs w:val="28"/>
          <w:lang w:val="zh-CN" w:bidi="zh-CN"/>
        </w:rPr>
      </w:pPr>
    </w:p>
    <w:p w14:paraId="2DDCBADF">
      <w:pPr>
        <w:wordWrap w:val="0"/>
        <w:autoSpaceDE w:val="0"/>
        <w:autoSpaceDN w:val="0"/>
        <w:spacing w:line="360" w:lineRule="auto"/>
        <w:ind w:firstLine="604" w:firstLineChars="216"/>
        <w:jc w:val="left"/>
        <w:rPr>
          <w:rFonts w:hint="eastAsia" w:ascii="宋体" w:hAnsi="宋体" w:cs="宋体"/>
          <w:color w:val="auto"/>
          <w:kern w:val="0"/>
          <w:sz w:val="28"/>
          <w:szCs w:val="28"/>
          <w:lang w:val="zh-CN" w:bidi="zh-CN"/>
        </w:rPr>
      </w:pPr>
    </w:p>
    <w:p w14:paraId="3A441B5D">
      <w:pPr>
        <w:wordWrap w:val="0"/>
        <w:autoSpaceDE w:val="0"/>
        <w:autoSpaceDN w:val="0"/>
        <w:spacing w:before="3" w:line="360" w:lineRule="auto"/>
        <w:ind w:firstLine="604" w:firstLineChars="216"/>
        <w:jc w:val="left"/>
        <w:rPr>
          <w:rFonts w:hint="eastAsia" w:ascii="宋体" w:hAnsi="宋体" w:cs="宋体"/>
          <w:color w:val="auto"/>
          <w:kern w:val="0"/>
          <w:sz w:val="28"/>
          <w:szCs w:val="28"/>
          <w:lang w:val="zh-CN" w:bidi="zh-CN"/>
        </w:rPr>
      </w:pPr>
    </w:p>
    <w:p w14:paraId="3A510311">
      <w:pPr>
        <w:widowControl/>
        <w:wordWrap w:val="0"/>
        <w:ind w:firstLine="607" w:firstLineChars="216"/>
        <w:jc w:val="left"/>
        <w:rPr>
          <w:rFonts w:hint="eastAsia" w:ascii="宋体" w:hAnsi="宋体" w:cs="宋体"/>
          <w:b/>
          <w:bCs/>
          <w:color w:val="auto"/>
          <w:kern w:val="0"/>
          <w:sz w:val="28"/>
          <w:szCs w:val="28"/>
          <w:lang w:val="zh-CN" w:bidi="zh-CN"/>
        </w:rPr>
      </w:pPr>
      <w:r>
        <w:rPr>
          <w:rFonts w:hint="eastAsia" w:ascii="宋体" w:hAnsi="宋体" w:cs="宋体"/>
          <w:b/>
          <w:bCs/>
          <w:color w:val="auto"/>
          <w:kern w:val="0"/>
          <w:sz w:val="28"/>
          <w:szCs w:val="28"/>
          <w:lang w:val="zh-CN" w:bidi="zh-CN"/>
        </w:rPr>
        <w:br w:type="page"/>
      </w:r>
    </w:p>
    <w:p w14:paraId="4C6E66ED">
      <w:pPr>
        <w:pStyle w:val="3"/>
        <w:wordWrap w:val="0"/>
        <w:spacing w:line="360" w:lineRule="auto"/>
        <w:rPr>
          <w:rFonts w:hint="eastAsia" w:ascii="宋体" w:hAnsi="宋体" w:eastAsia="宋体" w:cs="宋体"/>
          <w:b w:val="0"/>
          <w:bCs w:val="0"/>
          <w:color w:val="auto"/>
          <w:kern w:val="2"/>
          <w:sz w:val="24"/>
          <w:szCs w:val="24"/>
          <w:lang w:val="zh-CN" w:eastAsia="zh-CN" w:bidi="ar-SA"/>
        </w:rPr>
      </w:pPr>
      <w:bookmarkStart w:id="172" w:name="_Toc64995452"/>
      <w:r>
        <w:rPr>
          <w:rFonts w:hint="eastAsia" w:ascii="宋体" w:hAnsi="宋体" w:eastAsia="宋体" w:cs="宋体"/>
          <w:b w:val="0"/>
          <w:bCs w:val="0"/>
          <w:color w:val="auto"/>
          <w:kern w:val="2"/>
          <w:sz w:val="24"/>
          <w:szCs w:val="24"/>
          <w:lang w:val="zh-CN" w:eastAsia="zh-CN" w:bidi="ar-SA"/>
        </w:rPr>
        <w:t>3、监狱企业证明文件</w:t>
      </w:r>
      <w:bookmarkEnd w:id="172"/>
    </w:p>
    <w:p w14:paraId="68C7F0C4">
      <w:pPr>
        <w:wordWrap w:val="0"/>
        <w:autoSpaceDE w:val="0"/>
        <w:autoSpaceDN w:val="0"/>
        <w:spacing w:line="360" w:lineRule="auto"/>
        <w:ind w:right="437" w:firstLine="518" w:firstLineChars="216"/>
        <w:jc w:val="left"/>
        <w:rPr>
          <w:rFonts w:hint="eastAsia" w:ascii="宋体" w:hAnsi="宋体" w:cs="宋体"/>
          <w:color w:val="auto"/>
          <w:sz w:val="24"/>
        </w:rPr>
      </w:pPr>
      <w:r>
        <w:rPr>
          <w:rFonts w:hint="eastAsia" w:ascii="宋体" w:hAnsi="宋体" w:cs="宋体"/>
          <w:color w:val="auto"/>
          <w:sz w:val="24"/>
        </w:rPr>
        <w:t>省级以上监狱管理局、戒毒管理局（含新疆生产建设兵团）出具的属于监狱企业的证明文件。</w:t>
      </w:r>
    </w:p>
    <w:p w14:paraId="1859E728">
      <w:pPr>
        <w:wordWrap w:val="0"/>
        <w:autoSpaceDE w:val="0"/>
        <w:autoSpaceDN w:val="0"/>
        <w:spacing w:line="360" w:lineRule="auto"/>
        <w:ind w:right="437" w:firstLine="604" w:firstLineChars="216"/>
        <w:jc w:val="left"/>
        <w:rPr>
          <w:rFonts w:hint="eastAsia" w:ascii="宋体" w:hAnsi="宋体" w:cs="宋体"/>
          <w:color w:val="auto"/>
          <w:sz w:val="28"/>
          <w:szCs w:val="28"/>
        </w:rPr>
      </w:pPr>
    </w:p>
    <w:p w14:paraId="5AEB80FC">
      <w:pPr>
        <w:wordWrap w:val="0"/>
        <w:autoSpaceDE w:val="0"/>
        <w:autoSpaceDN w:val="0"/>
        <w:spacing w:line="360" w:lineRule="auto"/>
        <w:ind w:firstLine="604" w:firstLineChars="216"/>
        <w:jc w:val="left"/>
        <w:rPr>
          <w:rFonts w:hint="eastAsia" w:ascii="宋体" w:hAnsi="宋体" w:cs="宋体"/>
          <w:color w:val="auto"/>
          <w:kern w:val="0"/>
          <w:sz w:val="28"/>
          <w:szCs w:val="28"/>
          <w:lang w:val="zh-CN" w:bidi="zh-CN"/>
        </w:rPr>
      </w:pPr>
    </w:p>
    <w:p w14:paraId="4C2338DF">
      <w:pPr>
        <w:wordWrap w:val="0"/>
        <w:autoSpaceDE w:val="0"/>
        <w:autoSpaceDN w:val="0"/>
        <w:spacing w:line="360" w:lineRule="auto"/>
        <w:ind w:firstLine="604" w:firstLineChars="216"/>
        <w:jc w:val="left"/>
        <w:rPr>
          <w:rFonts w:hint="eastAsia" w:ascii="宋体" w:hAnsi="宋体" w:cs="宋体"/>
          <w:color w:val="auto"/>
          <w:kern w:val="0"/>
          <w:sz w:val="28"/>
          <w:szCs w:val="28"/>
          <w:lang w:val="zh-CN" w:bidi="zh-CN"/>
        </w:rPr>
      </w:pPr>
    </w:p>
    <w:p w14:paraId="60954043">
      <w:pPr>
        <w:wordWrap w:val="0"/>
        <w:autoSpaceDE w:val="0"/>
        <w:autoSpaceDN w:val="0"/>
        <w:spacing w:line="360" w:lineRule="auto"/>
        <w:ind w:firstLine="604" w:firstLineChars="216"/>
        <w:jc w:val="left"/>
        <w:rPr>
          <w:rFonts w:hint="eastAsia" w:ascii="宋体" w:hAnsi="宋体" w:cs="宋体"/>
          <w:color w:val="auto"/>
          <w:kern w:val="0"/>
          <w:sz w:val="28"/>
          <w:szCs w:val="28"/>
          <w:lang w:val="zh-CN" w:bidi="zh-CN"/>
        </w:rPr>
      </w:pPr>
    </w:p>
    <w:p w14:paraId="0255CB06">
      <w:pPr>
        <w:wordWrap w:val="0"/>
        <w:autoSpaceDE w:val="0"/>
        <w:autoSpaceDN w:val="0"/>
        <w:spacing w:before="7" w:line="360" w:lineRule="auto"/>
        <w:ind w:firstLine="604" w:firstLineChars="216"/>
        <w:jc w:val="left"/>
        <w:rPr>
          <w:rFonts w:hint="eastAsia" w:ascii="宋体" w:hAnsi="宋体" w:cs="宋体"/>
          <w:color w:val="auto"/>
          <w:kern w:val="0"/>
          <w:sz w:val="28"/>
          <w:szCs w:val="28"/>
          <w:lang w:val="zh-CN" w:bidi="zh-CN"/>
        </w:rPr>
      </w:pPr>
    </w:p>
    <w:p w14:paraId="045EAB6D">
      <w:pPr>
        <w:pStyle w:val="3"/>
        <w:wordWrap w:val="0"/>
        <w:spacing w:line="360" w:lineRule="auto"/>
        <w:rPr>
          <w:rFonts w:hint="eastAsia" w:ascii="宋体" w:hAnsi="宋体" w:eastAsia="宋体" w:cs="宋体"/>
          <w:b w:val="0"/>
          <w:bCs w:val="0"/>
          <w:color w:val="auto"/>
          <w:kern w:val="2"/>
          <w:sz w:val="24"/>
          <w:szCs w:val="24"/>
          <w:lang w:val="zh-CN" w:eastAsia="zh-CN" w:bidi="ar-SA"/>
        </w:rPr>
      </w:pPr>
      <w:bookmarkStart w:id="173" w:name="_Toc64995453"/>
      <w:r>
        <w:rPr>
          <w:rFonts w:hint="eastAsia" w:ascii="宋体" w:hAnsi="宋体" w:eastAsia="宋体" w:cs="宋体"/>
          <w:b w:val="0"/>
          <w:bCs w:val="0"/>
          <w:color w:val="auto"/>
          <w:kern w:val="2"/>
          <w:sz w:val="24"/>
          <w:szCs w:val="24"/>
          <w:lang w:val="zh-CN" w:eastAsia="zh-CN" w:bidi="ar-SA"/>
        </w:rPr>
        <w:t>4、节能环保产品证明文件</w:t>
      </w:r>
      <w:bookmarkEnd w:id="173"/>
    </w:p>
    <w:p w14:paraId="63F60F04">
      <w:pPr>
        <w:wordWrap w:val="0"/>
        <w:autoSpaceDE w:val="0"/>
        <w:autoSpaceDN w:val="0"/>
        <w:spacing w:line="360" w:lineRule="auto"/>
        <w:ind w:right="437" w:firstLine="518" w:firstLineChars="216"/>
        <w:jc w:val="left"/>
        <w:rPr>
          <w:rFonts w:hint="eastAsia" w:ascii="宋体" w:hAnsi="宋体" w:cs="宋体"/>
          <w:color w:val="auto"/>
          <w:sz w:val="24"/>
        </w:rPr>
      </w:pPr>
      <w:r>
        <w:rPr>
          <w:rFonts w:hint="eastAsia" w:ascii="宋体" w:hAnsi="宋体" w:cs="宋体"/>
          <w:color w:val="auto"/>
          <w:sz w:val="24"/>
        </w:rPr>
        <w:t>国家确定的认证机构出具的、处于有效期之内的节能产品、环境标志产品认证证书</w:t>
      </w:r>
    </w:p>
    <w:p w14:paraId="4A6E7BA8">
      <w:pPr>
        <w:rPr>
          <w:color w:val="auto"/>
        </w:rPr>
      </w:pPr>
    </w:p>
    <w:p w14:paraId="2BB3C8A4">
      <w:pPr>
        <w:jc w:val="center"/>
        <w:rPr>
          <w:rFonts w:hint="eastAsia" w:ascii="宋体" w:hAnsi="宋体" w:cs="宋体"/>
          <w:b/>
          <w:bCs/>
          <w:color w:val="auto"/>
          <w:sz w:val="24"/>
        </w:rPr>
      </w:pPr>
    </w:p>
    <w:p w14:paraId="4CF94C9A">
      <w:pPr>
        <w:pStyle w:val="14"/>
        <w:rPr>
          <w:rFonts w:hint="eastAsia" w:ascii="宋体" w:hAnsi="宋体" w:eastAsia="宋体" w:cs="宋体"/>
          <w:color w:val="auto"/>
          <w:sz w:val="24"/>
          <w:szCs w:val="24"/>
        </w:rPr>
      </w:pPr>
    </w:p>
    <w:p w14:paraId="3E79D8EB">
      <w:pPr>
        <w:rPr>
          <w:color w:val="auto"/>
        </w:rPr>
      </w:pPr>
    </w:p>
    <w:p w14:paraId="582DB17B"/>
    <w:sectPr>
      <w:footerReference r:id="rId5" w:type="first"/>
      <w:footerReference r:id="rId4" w:type="default"/>
      <w:pgSz w:w="11906" w:h="16838"/>
      <w:pgMar w:top="1440" w:right="1080" w:bottom="1440" w:left="1080" w:header="851" w:footer="850"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D15A">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2557145</wp:posOffset>
              </wp:positionH>
              <wp:positionV relativeFrom="paragraph">
                <wp:posOffset>-485775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5398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35pt;margin-top:-38.25pt;height:144pt;width:144pt;mso-position-horizontal-relative:margin;mso-wrap-style:none;z-index:251659264;mso-width-relative:page;mso-height-relative:page;" filled="f" stroked="f" coordsize="21600,21600" o:gfxdata="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1DdQ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14:paraId="7E55398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F2C2">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F31A4">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1F31A4">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0F61">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713B5">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4713B5">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decimal"/>
      <w:lvlText w:val="%1)"/>
      <w:lvlJc w:val="left"/>
      <w:pPr>
        <w:tabs>
          <w:tab w:val="left" w:pos="420"/>
        </w:tabs>
        <w:ind w:left="420" w:hanging="420"/>
      </w:pPr>
    </w:lvl>
    <w:lvl w:ilvl="1" w:tentative="0">
      <w:start w:val="1"/>
      <w:numFmt w:val="decimal"/>
      <w:pStyle w:val="2"/>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407888"/>
    <w:multiLevelType w:val="singleLevel"/>
    <w:tmpl w:val="3E407888"/>
    <w:lvl w:ilvl="0" w:tentative="0">
      <w:start w:val="6"/>
      <w:numFmt w:val="chineseCounting"/>
      <w:suff w:val="nothing"/>
      <w:lvlText w:val="%1、"/>
      <w:lvlJc w:val="left"/>
      <w:rPr>
        <w:rFonts w:hint="eastAsia"/>
      </w:rPr>
    </w:lvl>
  </w:abstractNum>
  <w:abstractNum w:abstractNumId="2">
    <w:nsid w:val="552CE236"/>
    <w:multiLevelType w:val="singleLevel"/>
    <w:tmpl w:val="552CE236"/>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ZTc3ZjM3N2JiYjQzOWYzZTAyNGVlMjZkNDRlNTEifQ=="/>
  </w:docVars>
  <w:rsids>
    <w:rsidRoot w:val="27576D7E"/>
    <w:rsid w:val="00046CA0"/>
    <w:rsid w:val="00225EBA"/>
    <w:rsid w:val="01B01FE3"/>
    <w:rsid w:val="056E46A5"/>
    <w:rsid w:val="05FB6170"/>
    <w:rsid w:val="06A765D7"/>
    <w:rsid w:val="06FD48E2"/>
    <w:rsid w:val="07515F42"/>
    <w:rsid w:val="07966C7C"/>
    <w:rsid w:val="0B291CB1"/>
    <w:rsid w:val="0F0547E3"/>
    <w:rsid w:val="0F0C3DC3"/>
    <w:rsid w:val="1170002D"/>
    <w:rsid w:val="120D3013"/>
    <w:rsid w:val="12A54313"/>
    <w:rsid w:val="138140E6"/>
    <w:rsid w:val="139F04BD"/>
    <w:rsid w:val="17991C3C"/>
    <w:rsid w:val="18BF230C"/>
    <w:rsid w:val="1F843502"/>
    <w:rsid w:val="23B93A71"/>
    <w:rsid w:val="25D911DB"/>
    <w:rsid w:val="26034797"/>
    <w:rsid w:val="27576D7E"/>
    <w:rsid w:val="2AB16D14"/>
    <w:rsid w:val="2BE27F2E"/>
    <w:rsid w:val="2CAC787D"/>
    <w:rsid w:val="309D6BE8"/>
    <w:rsid w:val="32292413"/>
    <w:rsid w:val="34B20BF4"/>
    <w:rsid w:val="364705BA"/>
    <w:rsid w:val="384F5973"/>
    <w:rsid w:val="3BD11425"/>
    <w:rsid w:val="3D240261"/>
    <w:rsid w:val="3F571ED0"/>
    <w:rsid w:val="401069C0"/>
    <w:rsid w:val="40E11FAA"/>
    <w:rsid w:val="44850247"/>
    <w:rsid w:val="46256946"/>
    <w:rsid w:val="46545DC7"/>
    <w:rsid w:val="4A0A18B7"/>
    <w:rsid w:val="4FEC394D"/>
    <w:rsid w:val="511300BE"/>
    <w:rsid w:val="52AF2069"/>
    <w:rsid w:val="535569D5"/>
    <w:rsid w:val="53C254A1"/>
    <w:rsid w:val="54B66E45"/>
    <w:rsid w:val="5512068D"/>
    <w:rsid w:val="56F05D6D"/>
    <w:rsid w:val="579426CA"/>
    <w:rsid w:val="58F44C79"/>
    <w:rsid w:val="598D6A8B"/>
    <w:rsid w:val="5AA146E7"/>
    <w:rsid w:val="5ED141D0"/>
    <w:rsid w:val="5EF32B74"/>
    <w:rsid w:val="5F0C5DDF"/>
    <w:rsid w:val="5FB05672"/>
    <w:rsid w:val="62503AE7"/>
    <w:rsid w:val="63900C5C"/>
    <w:rsid w:val="63A44570"/>
    <w:rsid w:val="66A30839"/>
    <w:rsid w:val="68997A2B"/>
    <w:rsid w:val="6B221D59"/>
    <w:rsid w:val="75AC3DC3"/>
    <w:rsid w:val="7CAC16AC"/>
    <w:rsid w:val="7E41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35"/>
    <w:qFormat/>
    <w:uiPriority w:val="0"/>
    <w:pPr>
      <w:keepNext/>
      <w:keepLines/>
      <w:numPr>
        <w:ilvl w:val="1"/>
        <w:numId w:val="1"/>
      </w:numPr>
      <w:spacing w:before="260" w:after="260" w:line="416" w:lineRule="auto"/>
      <w:jc w:val="center"/>
      <w:outlineLvl w:val="1"/>
    </w:pPr>
    <w:rPr>
      <w:rFonts w:ascii="Arial" w:hAnsi="Arial" w:eastAsia="宋体"/>
      <w:b/>
      <w:sz w:val="24"/>
      <w:szCs w:val="20"/>
    </w:rPr>
  </w:style>
  <w:style w:type="paragraph" w:styleId="3">
    <w:name w:val="heading 4"/>
    <w:basedOn w:val="1"/>
    <w:next w:val="1"/>
    <w:qFormat/>
    <w:uiPriority w:val="0"/>
    <w:pPr>
      <w:keepNext/>
      <w:outlineLvl w:val="3"/>
    </w:pPr>
    <w:rPr>
      <w:rFonts w:ascii="宋体" w:hAnsi="宋体"/>
      <w:b/>
      <w:bCs/>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style>
  <w:style w:type="paragraph" w:styleId="5">
    <w:name w:val="Body Text Indent"/>
    <w:basedOn w:val="1"/>
    <w:next w:val="6"/>
    <w:unhideWhenUsed/>
    <w:qFormat/>
    <w:uiPriority w:val="99"/>
    <w:pPr>
      <w:ind w:firstLine="600" w:firstLineChars="200"/>
    </w:pPr>
    <w:rPr>
      <w:sz w:val="30"/>
      <w:szCs w:val="30"/>
    </w:rPr>
  </w:style>
  <w:style w:type="paragraph" w:styleId="6">
    <w:name w:val="Body Text Indent 2"/>
    <w:basedOn w:val="1"/>
    <w:unhideWhenUsed/>
    <w:qFormat/>
    <w:uiPriority w:val="99"/>
    <w:pPr>
      <w:ind w:firstLine="570"/>
    </w:pPr>
    <w:rPr>
      <w:sz w:val="32"/>
      <w:szCs w:val="32"/>
    </w:rPr>
  </w:style>
  <w:style w:type="paragraph" w:styleId="7">
    <w:name w:val="Plain Text"/>
    <w:basedOn w:val="1"/>
    <w:qFormat/>
    <w:uiPriority w:val="0"/>
    <w:rPr>
      <w:rFonts w:ascii="宋体" w:hAnsi="宋体"/>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spacing w:line="440" w:lineRule="exact"/>
      <w:ind w:firstLine="300"/>
    </w:pPr>
    <w:rPr>
      <w:rFonts w:ascii="Calibri" w:hAnsi="Calibri" w:eastAsia="宋体" w:cs="Calibri"/>
      <w:smallCaps/>
      <w:sz w:val="2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1"/>
    <w:next w:val="1"/>
    <w:qFormat/>
    <w:uiPriority w:val="0"/>
    <w:pPr>
      <w:spacing w:before="240" w:after="60"/>
      <w:jc w:val="center"/>
      <w:outlineLvl w:val="0"/>
    </w:pPr>
    <w:rPr>
      <w:rFonts w:ascii="Cambria" w:hAnsi="Cambria" w:eastAsia="宋体" w:cs="Times New Roman"/>
      <w:b/>
      <w:bCs/>
      <w:kern w:val="2"/>
      <w:sz w:val="32"/>
      <w:szCs w:val="32"/>
    </w:rPr>
  </w:style>
  <w:style w:type="paragraph" w:styleId="14">
    <w:name w:val="Body Text First Indent"/>
    <w:basedOn w:val="4"/>
    <w:qFormat/>
    <w:uiPriority w:val="0"/>
    <w:pPr>
      <w:adjustRightInd/>
      <w:spacing w:after="120"/>
      <w:ind w:firstLine="420"/>
      <w:jc w:val="both"/>
      <w:textAlignment w:val="auto"/>
    </w:pPr>
    <w:rPr>
      <w:rFonts w:ascii="Times New Roman"/>
      <w:kern w:val="2"/>
      <w:sz w:val="32"/>
    </w:rPr>
  </w:style>
  <w:style w:type="paragraph" w:styleId="15">
    <w:name w:val="Body Text First Indent 2"/>
    <w:basedOn w:val="5"/>
    <w:next w:val="16"/>
    <w:unhideWhenUsed/>
    <w:qFormat/>
    <w:uiPriority w:val="99"/>
    <w:pPr>
      <w:ind w:firstLine="420"/>
    </w:pPr>
    <w:rPr>
      <w:sz w:val="21"/>
      <w:szCs w:val="21"/>
    </w:rPr>
  </w:style>
  <w:style w:type="paragraph" w:customStyle="1" w:styleId="16">
    <w:name w:val="正文1"/>
    <w:basedOn w:val="1"/>
    <w:qFormat/>
    <w:uiPriority w:val="0"/>
    <w:pPr>
      <w:spacing w:line="360" w:lineRule="auto"/>
      <w:ind w:firstLine="0" w:firstLineChars="0"/>
      <w:jc w:val="center"/>
    </w:pPr>
  </w:style>
  <w:style w:type="table" w:styleId="18">
    <w:name w:val="Table Grid"/>
    <w:basedOn w:val="1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styleId="33">
    <w:name w:val="List Paragraph"/>
    <w:basedOn w:val="1"/>
    <w:qFormat/>
    <w:uiPriority w:val="1"/>
    <w:pPr>
      <w:ind w:left="320" w:firstLine="420"/>
    </w:pPr>
  </w:style>
  <w:style w:type="paragraph" w:customStyle="1" w:styleId="34">
    <w:name w:val="Table Paragraph"/>
    <w:basedOn w:val="1"/>
    <w:qFormat/>
    <w:uiPriority w:val="1"/>
  </w:style>
  <w:style w:type="character" w:customStyle="1" w:styleId="35">
    <w:name w:val="标题 2 字符"/>
    <w:link w:val="2"/>
    <w:qFormat/>
    <w:locked/>
    <w:uiPriority w:val="0"/>
    <w:rPr>
      <w:rFonts w:ascii="Arial" w:hAnsi="Arial" w:eastAsia="宋体"/>
      <w:b/>
      <w:sz w:val="24"/>
      <w:szCs w:val="20"/>
    </w:rPr>
  </w:style>
  <w:style w:type="character" w:customStyle="1" w:styleId="36">
    <w:name w:val="layui-layer-tabnow"/>
    <w:basedOn w:val="19"/>
    <w:qFormat/>
    <w:uiPriority w:val="0"/>
    <w:rPr>
      <w:bdr w:val="single" w:color="CCCCCC" w:sz="6" w:space="0"/>
      <w:shd w:val="clear" w:fill="FFFFFF"/>
    </w:rPr>
  </w:style>
  <w:style w:type="character" w:customStyle="1" w:styleId="37">
    <w:name w:val="first-child"/>
    <w:basedOn w:val="19"/>
    <w:qFormat/>
    <w:uiPriority w:val="0"/>
  </w:style>
  <w:style w:type="character" w:customStyle="1" w:styleId="38">
    <w:name w:val="hover"/>
    <w:basedOn w:val="19"/>
    <w:qFormat/>
    <w:uiPriority w:val="0"/>
  </w:style>
  <w:style w:type="character" w:customStyle="1" w:styleId="39">
    <w:name w:val="hover1"/>
    <w:basedOn w:val="19"/>
    <w:qFormat/>
    <w:uiPriority w:val="0"/>
    <w:rPr>
      <w:color w:val="2590EB"/>
    </w:rPr>
  </w:style>
  <w:style w:type="character" w:customStyle="1" w:styleId="40">
    <w:name w:val="hover2"/>
    <w:basedOn w:val="19"/>
    <w:qFormat/>
    <w:uiPriority w:val="0"/>
    <w:rPr>
      <w:color w:val="2590EB"/>
    </w:rPr>
  </w:style>
  <w:style w:type="character" w:customStyle="1" w:styleId="41">
    <w:name w:val="mini-outputtext1"/>
    <w:basedOn w:val="19"/>
    <w:qFormat/>
    <w:uiPriority w:val="0"/>
  </w:style>
  <w:style w:type="character" w:customStyle="1" w:styleId="42">
    <w:name w:val="hover3"/>
    <w:basedOn w:val="19"/>
    <w:qFormat/>
    <w:uiPriority w:val="0"/>
  </w:style>
  <w:style w:type="paragraph" w:customStyle="1" w:styleId="43">
    <w:name w:val="Default"/>
    <w:basedOn w:val="13"/>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14594</Words>
  <Characters>16369</Characters>
  <Lines>0</Lines>
  <Paragraphs>0</Paragraphs>
  <TotalTime>74</TotalTime>
  <ScaleCrop>false</ScaleCrop>
  <LinksUpToDate>false</LinksUpToDate>
  <CharactersWithSpaces>16550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2024-10-15T02:40:00Z</dcterms:created>
  <dc:creator>褐乔迷坦仪</dc:creator>
  <cp:lastModifiedBy>8237476547</cp:lastModifiedBy>
  <cp:lastPrinted>2024-12-03T07:56:00Z</cp:lastPrinted>
  <dcterms:modified xsi:type="dcterms:W3CDTF">2024-12-03T09:14:41Z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775794D087B44635AE147CFAAC0E4493_13</vt:lpwstr>
  </property>
</Properties>
</file>